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1976120" cy="3198495"/>
            <wp:effectExtent b="0" l="0" r="0" t="0"/>
            <wp:docPr id="5"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976120" cy="319849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360" w:lineRule="auto"/>
        <w:ind w:left="0" w:right="-1" w:firstLine="0"/>
        <w:jc w:val="center"/>
        <w:rPr>
          <w:rFonts w:ascii="Times New Roman" w:cs="Times New Roman" w:eastAsia="Times New Roman" w:hAnsi="Times New Roman"/>
          <w:b w:val="0"/>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0"/>
          <w:szCs w:val="40"/>
          <w:u w:val="single"/>
          <w:shd w:fill="auto" w:val="clear"/>
          <w:vertAlign w:val="baseline"/>
          <w:rtl w:val="0"/>
        </w:rPr>
        <w:t xml:space="preserve">ЛОКАЛЬНЫЕ ОЧИСТНЫЕ СООРУЖЕНИЯ «БАЛТЛОС»</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360" w:lineRule="auto"/>
        <w:ind w:left="0" w:right="-1" w:firstLine="0"/>
        <w:jc w:val="center"/>
        <w:rPr>
          <w:rFonts w:ascii="Times New Roman" w:cs="Times New Roman" w:eastAsia="Times New Roman" w:hAnsi="Times New Roman"/>
          <w:b w:val="0"/>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0"/>
          <w:szCs w:val="40"/>
          <w:u w:val="none"/>
          <w:shd w:fill="auto" w:val="clear"/>
          <w:vertAlign w:val="baseline"/>
          <w:rtl w:val="0"/>
        </w:rPr>
        <w:t xml:space="preserve">ПС РЭ 28.29.12.110.2020</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360" w:lineRule="auto"/>
        <w:ind w:left="0" w:right="-1" w:firstLine="0"/>
        <w:jc w:val="center"/>
        <w:rPr>
          <w:rFonts w:ascii="Times New Roman" w:cs="Times New Roman" w:eastAsia="Times New Roman" w:hAnsi="Times New Roman"/>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360" w:lineRule="auto"/>
        <w:ind w:left="0" w:right="-1" w:firstLine="0"/>
        <w:jc w:val="center"/>
        <w:rPr>
          <w:rFonts w:ascii="Times New Roman" w:cs="Times New Roman" w:eastAsia="Times New Roman" w:hAnsi="Times New Roman"/>
          <w:b w:val="0"/>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ПАСПОРТ</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360" w:lineRule="auto"/>
        <w:ind w:left="0" w:right="-1" w:firstLine="0"/>
        <w:jc w:val="center"/>
        <w:rPr>
          <w:rFonts w:ascii="Times New Roman" w:cs="Times New Roman" w:eastAsia="Times New Roman" w:hAnsi="Times New Roman"/>
          <w:b w:val="0"/>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РУКОВОДСТВО ПО ЭКСПЛУАТАЦИИ</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240" w:lineRule="auto"/>
        <w:ind w:left="0" w:right="-1" w:firstLine="0"/>
        <w:jc w:val="center"/>
        <w:rPr>
          <w:rFonts w:ascii="Times New Roman" w:cs="Times New Roman" w:eastAsia="Times New Roman" w:hAnsi="Times New Roman"/>
          <w:b w:val="0"/>
          <w:i w:val="0"/>
          <w:smallCaps w:val="0"/>
          <w:strike w:val="0"/>
          <w:color w:val="000000"/>
          <w:sz w:val="38"/>
          <w:szCs w:val="38"/>
          <w:u w:val="singl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240" w:lineRule="auto"/>
        <w:ind w:left="0" w:right="-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 передаче изделия другому владельцу передается настоящий паспорт, совмещенный с руководством по эксплуатации</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240" w:lineRule="auto"/>
        <w:ind w:left="0" w:right="-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240" w:lineRule="auto"/>
        <w:ind w:left="0" w:right="-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240" w:lineRule="auto"/>
        <w:ind w:left="0" w:right="-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240" w:lineRule="auto"/>
        <w:ind w:left="0" w:right="-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240" w:lineRule="auto"/>
        <w:ind w:left="0" w:right="-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240" w:lineRule="auto"/>
        <w:ind w:left="0" w:right="-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240" w:lineRule="auto"/>
        <w:ind w:left="0" w:right="-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240" w:lineRule="auto"/>
        <w:ind w:left="0" w:right="-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240" w:lineRule="auto"/>
        <w:ind w:left="0" w:right="-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240" w:lineRule="auto"/>
        <w:ind w:left="0" w:right="-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240" w:lineRule="auto"/>
        <w:ind w:left="0" w:right="-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Калининградская область, г. Калининград</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СОДЕРЖАНИЕ</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ПРЕДИСЛОВИЕ</w:t>
        <w:tab/>
        <w:tab/>
        <w:tab/>
        <w:tab/>
        <w:tab/>
        <w:tab/>
        <w:tab/>
        <w:tab/>
        <w:tab/>
        <w:tab/>
        <w:t xml:space="preserve">3</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ОПИСАНИЕ И РАБОТА ИЗДЕЛИЯ</w:t>
        <w:tab/>
        <w:tab/>
        <w:tab/>
        <w:tab/>
        <w:tab/>
        <w:tab/>
        <w:tab/>
        <w:t xml:space="preserve">5</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1.1 Заводской номер</w:t>
        <w:tab/>
        <w:tab/>
        <w:tab/>
        <w:tab/>
        <w:tab/>
        <w:tab/>
        <w:tab/>
        <w:tab/>
        <w:tab/>
        <w:tab/>
        <w:t xml:space="preserve">5</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1.2 Дата изготовления</w:t>
        <w:tab/>
        <w:tab/>
        <w:tab/>
        <w:tab/>
        <w:tab/>
        <w:tab/>
        <w:tab/>
        <w:tab/>
        <w:tab/>
        <w:tab/>
        <w:t xml:space="preserve">5</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1.3 Очистное сооружение изготовлено</w:t>
        <w:tab/>
        <w:tab/>
        <w:tab/>
        <w:tab/>
        <w:tab/>
        <w:tab/>
        <w:tab/>
        <w:t xml:space="preserve">5</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1.4 Назначение изделия</w:t>
        <w:tab/>
        <w:tab/>
        <w:tab/>
        <w:tab/>
        <w:tab/>
        <w:tab/>
        <w:tab/>
        <w:tab/>
        <w:tab/>
        <w:t xml:space="preserve">5</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1.5 Технические характеристики (свойства)</w:t>
        <w:tab/>
        <w:tab/>
        <w:tab/>
        <w:tab/>
        <w:tab/>
        <w:tab/>
        <w:t xml:space="preserve">5</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1.6 Состав изделия</w:t>
        <w:tab/>
        <w:tab/>
        <w:tab/>
        <w:tab/>
        <w:tab/>
        <w:tab/>
        <w:tab/>
        <w:tab/>
        <w:tab/>
        <w:tab/>
        <w:t xml:space="preserve">7</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1.7 Устройство и работа</w:t>
        <w:tab/>
        <w:tab/>
        <w:tab/>
        <w:tab/>
        <w:tab/>
        <w:tab/>
        <w:tab/>
        <w:tab/>
        <w:tab/>
        <w:t xml:space="preserve">8</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1.8 Описание и работа составных частей изделия</w:t>
        <w:tab/>
        <w:tab/>
        <w:tab/>
        <w:tab/>
        <w:tab/>
        <w:t xml:space="preserve">8</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КОМПЛЕКТНОСТЬ</w:t>
        <w:tab/>
        <w:tab/>
        <w:tab/>
        <w:tab/>
        <w:tab/>
        <w:tab/>
        <w:tab/>
        <w:tab/>
        <w:tab/>
        <w:t xml:space="preserve">9</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МОНТАЖ ОЧИСТНЫХ СООРУЖЕНИЙ</w:t>
        <w:tab/>
        <w:tab/>
        <w:tab/>
        <w:tab/>
        <w:tab/>
        <w:tab/>
        <w:t xml:space="preserve">9</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3.1 Организация монтажных работ</w:t>
        <w:tab/>
        <w:tab/>
        <w:tab/>
        <w:tab/>
        <w:tab/>
        <w:tab/>
        <w:tab/>
        <w:t xml:space="preserve">9</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3.2 Выбор места</w:t>
        <w:tab/>
        <w:tab/>
        <w:tab/>
        <w:tab/>
        <w:tab/>
        <w:tab/>
        <w:tab/>
        <w:tab/>
        <w:tab/>
        <w:tab/>
        <w:tab/>
        <w:t xml:space="preserve">9</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3.3 Подготовка места</w:t>
        <w:tab/>
        <w:tab/>
        <w:tab/>
        <w:tab/>
        <w:tab/>
        <w:tab/>
        <w:tab/>
        <w:tab/>
        <w:tab/>
        <w:tab/>
        <w:t xml:space="preserve">10</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3.4 Установка оборудования</w:t>
        <w:tab/>
        <w:tab/>
        <w:tab/>
        <w:tab/>
        <w:tab/>
        <w:tab/>
        <w:tab/>
        <w:tab/>
        <w:t xml:space="preserve">11</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3.5 Электрические соединения</w:t>
        <w:tab/>
        <w:tab/>
        <w:tab/>
        <w:tab/>
        <w:tab/>
        <w:tab/>
        <w:tab/>
        <w:tab/>
        <w:t xml:space="preserve">12</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 ИСПОЛЬЗОВАНИЕ ПО НАЗНАЧЕНИЮ</w:t>
        <w:tab/>
        <w:tab/>
        <w:tab/>
        <w:tab/>
        <w:tab/>
        <w:tab/>
        <w:t xml:space="preserve">13</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4.1 Эксплуатационные ограничения</w:t>
        <w:tab/>
        <w:tab/>
        <w:tab/>
        <w:tab/>
        <w:tab/>
        <w:tab/>
        <w:tab/>
        <w:t xml:space="preserve">13</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4.2 Инструкция по откачке избыточного ила</w:t>
        <w:tab/>
        <w:tab/>
        <w:tab/>
        <w:tab/>
        <w:tab/>
        <w:t xml:space="preserve">14</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4.3 Способы утилизация очищенной воды</w:t>
        <w:tab/>
        <w:tab/>
        <w:tab/>
        <w:tab/>
        <w:tab/>
        <w:tab/>
        <w:t xml:space="preserve">14</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 ТЕХНИЧЕСКОЕ ОБСЛУЖИВАНИЕ</w:t>
        <w:tab/>
        <w:tab/>
        <w:tab/>
        <w:tab/>
        <w:tab/>
        <w:tab/>
        <w:t xml:space="preserve">15</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 ТЕКУЩИЙ РЕМОНТ</w:t>
        <w:tab/>
        <w:tab/>
        <w:tab/>
        <w:tab/>
        <w:tab/>
        <w:tab/>
        <w:tab/>
        <w:tab/>
        <w:tab/>
        <w:t xml:space="preserve">16</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 ХРАНЕНИЕ</w:t>
        <w:tab/>
        <w:tab/>
        <w:tab/>
        <w:tab/>
        <w:tab/>
        <w:tab/>
        <w:tab/>
        <w:tab/>
        <w:tab/>
        <w:tab/>
        <w:tab/>
        <w:t xml:space="preserve">18</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8 ТРАНСПОРТИРОВАНИЕ</w:t>
        <w:tab/>
        <w:tab/>
        <w:tab/>
        <w:tab/>
        <w:tab/>
        <w:tab/>
        <w:tab/>
        <w:tab/>
        <w:t xml:space="preserve">19</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9. РЕСУРСЫ, СРОКИ СЛУЖБЫ</w:t>
        <w:tab/>
        <w:tab/>
        <w:tab/>
        <w:tab/>
        <w:tab/>
        <w:tab/>
        <w:tab/>
        <w:t xml:space="preserve">20</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10 ГАРАНТИЙНЫЕ ОБЯЗАТЕЛЬСТВА</w:t>
        <w:tab/>
        <w:tab/>
        <w:tab/>
        <w:tab/>
        <w:tab/>
        <w:tab/>
        <w:t xml:space="preserve">20</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11 СВИДЕТЕЛЬСТВО ОБ УПАКОВЫВАНИИ</w:t>
        <w:tab/>
        <w:tab/>
        <w:tab/>
        <w:tab/>
        <w:tab/>
        <w:t xml:space="preserve">21</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12 СВИДЕТЕЛЬСТВО О ПРИЕМКЕ</w:t>
        <w:tab/>
        <w:tab/>
        <w:tab/>
        <w:tab/>
        <w:tab/>
        <w:tab/>
        <w:tab/>
        <w:t xml:space="preserve">22</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13 ДВИЖЕНИЯ ИЗДЕЛИЯ В ЭКСПЛУАТАЦИИ</w:t>
        <w:tab/>
        <w:tab/>
        <w:tab/>
        <w:tab/>
        <w:tab/>
        <w:t xml:space="preserve">22</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14 СВЕДЕНИЯ ОБ УТИЛИЗАЦИИ</w:t>
        <w:tab/>
        <w:tab/>
        <w:tab/>
        <w:tab/>
        <w:tab/>
        <w:tab/>
        <w:tab/>
        <w:t xml:space="preserve">23</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15 СВЕДЕНИЯ О РЕКЛАМАЦИЯХ</w:t>
        <w:tab/>
        <w:tab/>
        <w:tab/>
        <w:tab/>
        <w:tab/>
        <w:tab/>
        <w:tab/>
        <w:t xml:space="preserve">23</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84"/>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84"/>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84"/>
        <w:jc w:val="center"/>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7" w:type="default"/>
          <w:headerReference r:id="rId8" w:type="first"/>
          <w:footerReference r:id="rId9" w:type="default"/>
          <w:pgSz w:h="16838" w:w="11906" w:orient="portrait"/>
          <w:pgMar w:bottom="1134" w:top="1892" w:left="1276" w:right="850" w:header="426" w:footer="593"/>
          <w:pgNumType w:start="1"/>
          <w:titlePg w:val="1"/>
        </w:sect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ПРЕДИСЛОВИЕ</w:t>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Паспорт локального очистного сооружения (ЛОС), совмещенный с руководством по эксплуатации (РЭ) является эксплуатационным документом, удостоверяющим гарантированные предприятием-изготовителем основные параметры, и характеристики установки в соответствии с техническими условиями и определяет пригодность его к эксплуатации.</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Паспорт, совмещенный с РЭ должен постоянно находиться в службе, эксплуатирующего ЛОС. Все надписи в паспорте производятся только чернилами, отчетливо и аккуратно, подчистки, помарки и незавершенные исправления не допускаются. В разделе «Заметки по эксплуатации и хранению» в обязательном порядке должны быть внесены даты ввода оборудования в эксплуатацию и установки на хранение.</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Паспорт, совмещенный с РЭ на изделие выполняется в двух экземплярах, один из которых входит в комплект поставки изделия, а другой находится в архиве предприятия-изготовителя. </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При передаче изделия другому владельцу с ним передается и его паспорт, совмещенный с РЭ. Перед монтажом и эксплуатацией необходимо ознакомиться с руководством по эксплуатации на изделие и эксплуатационной документацией на комплектующие изделия.</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Предприятие-изготовитель оставляет за собой право вносить непринципиальные изменения в конструкцию очистных сооружений на любом этапе изготовления, испытаний и эксплуатации, не ухудшающие технические характеристики изделия.</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Настоящий паспорт, совмещенный с руководством по эксплуатации (далее - РЭ) распространяется на очистные сооружения и содержит следующую информацию: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общие сведения об установке;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описание способов применения;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технические характеристики;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правила эксплуатации и обслуживания;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сведения о гарантийных обязательствах, организации гарантийного и постгарантийного ремонта и обслуживания;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требования по хранению, транспортированию и утилизации.</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РЭ является документом, предназначенным для работников, эксплуатирующих очистные сооружения, осуществляющих монтаж, фирменное обслуживание.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Основным документом, определяющим безопасное использование очистных сооружений:</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 30.13330.2012. Внутренний водопровод и канализация зданий;</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 112.133330.2012 «Пожарная безопасность зданий и сооружений»;</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 68.13330.2012 «Приемка и ввод в эксплуатацию законченных строительством объектов»;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СанПиН 2.1.4.027-95. Зоны санитарной охраны источников водоснабжения и водопроводов хозяйственно-питьевого назначения. Санитарные правила и нормы</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ППБ-01-03 «Правила пожарной безопасности в Российской Федерации»;</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 31.13330.2012 "СНиП 2.04.02-84* Водоснабжение. Наружные сети и сооружения";</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 32.13330.2012 "СНиП 2.04.03-85 Канализация. Наружные сети и сооружения";</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 61.13330.2012 "СНиП 41-03-2003 Тепловая изоляция оборудования и трубопроводов";</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 73.13330.2012 "СНиП 3.05.01-85 Внутренние санитарно-технические системы зданий";</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 118.13330.2012 "СНиП 31-06-2009 Общественные здания и сооружения;</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ГОСТ 17.1.2.03-90 Охрана природы. Гидросфера. Критерии и показатели качества воды для орошения.</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ВНИМАНИЕ!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Приступать к установке изделия и эксплуатации только после ознакомления с настоящим руководством.</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Паспорт, совмещенный с руководством по эксплуатации распространяется на следующие модели изделий:</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«БАЛТЛОС 5»;</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«БАЛТЛОС 6»;</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«БАЛТЛОС 8».</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ОПИСАНИЕ И РАБОТА ИЗДЕЛИЯ</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1.1 Заводской номер: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sz w:val="28"/>
          <w:szCs w:val="28"/>
          <w:rtl w:val="0"/>
        </w:rPr>
        <w:t xml:space="preserve">____________</w:t>
      </w: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1.2 Дата изготовления: </w:t>
      </w:r>
      <w:r w:rsidDel="00000000" w:rsidR="00000000" w:rsidRPr="00000000">
        <w:rPr>
          <w:rFonts w:ascii="Times New Roman" w:cs="Times New Roman" w:eastAsia="Times New Roman" w:hAnsi="Times New Roman"/>
          <w:sz w:val="28"/>
          <w:szCs w:val="28"/>
          <w:rtl w:val="0"/>
        </w:rPr>
        <w:t xml:space="preserve">____________</w:t>
      </w: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1.3 Очистное сооружение изготовлено: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ООО «ПрофБурМонтаж»</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Адрес: 236006, г. Калининград,</w:t>
      </w:r>
      <w:r w:rsidDel="00000000" w:rsidR="00000000" w:rsidRPr="00000000">
        <w:rPr>
          <w:rFonts w:ascii="Times New Roman" w:cs="Times New Roman" w:eastAsia="Times New Roman" w:hAnsi="Times New Roman"/>
          <w:sz w:val="28"/>
          <w:szCs w:val="28"/>
          <w:rtl w:val="0"/>
        </w:rPr>
        <w:t xml:space="preserve"> Индустриальная 3а</w:t>
      </w: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тел/факс 8 (4012) </w:t>
      </w:r>
      <w:r w:rsidDel="00000000" w:rsidR="00000000" w:rsidRPr="00000000">
        <w:rPr>
          <w:rFonts w:ascii="Times New Roman" w:cs="Times New Roman" w:eastAsia="Times New Roman" w:hAnsi="Times New Roman"/>
          <w:sz w:val="28"/>
          <w:szCs w:val="28"/>
          <w:rtl w:val="0"/>
        </w:rPr>
        <w:t xml:space="preserve">400-020</w:t>
      </w: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Burenie39@yandex.ru</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1.4 Назначение изделия</w: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Локальные очистные сооружения «БАЛТЛОС» предназначены для очистки производственных, хозяйственно-бытовых и поверхностных стоков, подземных и поверхностных природных вод, а так же при отсутствии централизованной системы канализации.</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Сооружения применяют для очистки от органических, биогенных загрязнений и взвешенных веществ.</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1.5 Технические характеристики (свойства)</w:t>
      </w: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1.5.1 Исходная конструкция, общий вид изделий приведены на рис. 1.</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360" w:lineRule="auto"/>
        <w:ind w:left="525"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114300" distR="114300">
            <wp:extent cx="2057400" cy="3051810"/>
            <wp:effectExtent b="0" l="0" r="0" t="0"/>
            <wp:docPr id="7"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057400" cy="305181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Рис.1 Общий вид очистного сооружения «БАЛТЛОС» и расположение мест измерений</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1.5.2 Габаритные размеры и масса сооружений должны соответствовать указанным в таблице 1.</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Таблица 1</w:t>
      </w:r>
    </w:p>
    <w:tbl>
      <w:tblPr>
        <w:tblStyle w:val="Table1"/>
        <w:tblW w:w="9995.000000000002" w:type="dxa"/>
        <w:jc w:val="left"/>
        <w:tblInd w:w="0.0" w:type="dxa"/>
        <w:tblLayout w:type="fixed"/>
        <w:tblLook w:val="0000"/>
      </w:tblPr>
      <w:tblGrid>
        <w:gridCol w:w="2508"/>
        <w:gridCol w:w="1276"/>
        <w:gridCol w:w="1443"/>
        <w:gridCol w:w="1275"/>
        <w:gridCol w:w="1039"/>
        <w:gridCol w:w="1277"/>
        <w:gridCol w:w="1177"/>
        <w:tblGridChange w:id="0">
          <w:tblGrid>
            <w:gridCol w:w="2508"/>
            <w:gridCol w:w="1276"/>
            <w:gridCol w:w="1443"/>
            <w:gridCol w:w="1275"/>
            <w:gridCol w:w="1039"/>
            <w:gridCol w:w="1277"/>
            <w:gridCol w:w="1177"/>
          </w:tblGrid>
        </w:tblGridChange>
      </w:tblGrid>
      <w:tr>
        <w:trPr>
          <w:cantSplit w:val="0"/>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Модель</w:t>
            </w:r>
            <w:r w:rsidDel="00000000" w:rsidR="00000000" w:rsidRPr="00000000">
              <w:rPr>
                <w:rtl w:val="0"/>
              </w:rPr>
            </w:r>
          </w:p>
        </w:tc>
        <w:tc>
          <w:tcPr>
            <w:gridSpan w:val="5"/>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Размеры, мм</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Вес,</w:t>
            </w: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кг</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h1</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47"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БАЛТЛОС 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1350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2000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1200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1250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80</w:t>
            </w:r>
          </w:p>
        </w:tc>
      </w:tr>
      <w:tr>
        <w:trPr>
          <w:cantSplit w:val="0"/>
          <w:trHeight w:val="247"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БАЛТЛОС 6</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1400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2350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1300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1350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120</w:t>
            </w:r>
          </w:p>
        </w:tc>
      </w:tr>
      <w:tr>
        <w:trPr>
          <w:cantSplit w:val="0"/>
          <w:trHeight w:val="247"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БАЛТЛОС8</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1500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2600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1700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160</w:t>
            </w:r>
          </w:p>
        </w:tc>
      </w:tr>
    </w:tbl>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Примечание 2. Габаритные размеры установки (по согласованию Заказчика) могут быть изменены без ухудшения основных показателей очистки, в зависимости от имеющейся площади для их размещения.</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1.5.3 Основные параметры и технические характеристики установки приведены в таблице 2.</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Таблица 2</w:t>
      </w:r>
    </w:p>
    <w:tbl>
      <w:tblPr>
        <w:tblStyle w:val="Table2"/>
        <w:tblW w:w="999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68"/>
        <w:gridCol w:w="2409"/>
        <w:gridCol w:w="2409"/>
        <w:gridCol w:w="2409"/>
        <w:tblGridChange w:id="0">
          <w:tblGrid>
            <w:gridCol w:w="2768"/>
            <w:gridCol w:w="2409"/>
            <w:gridCol w:w="2409"/>
            <w:gridCol w:w="2409"/>
          </w:tblGrid>
        </w:tblGridChange>
      </w:tblGrid>
      <w:tr>
        <w:trPr>
          <w:cantSplit w:val="0"/>
          <w:tblHeader w:val="0"/>
        </w:trPr>
        <w:tc>
          <w:tcPr>
            <w:vMerge w:val="restart"/>
            <w:vAlign w:val="top"/>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Наименование показателя</w:t>
            </w:r>
            <w:r w:rsidDel="00000000" w:rsidR="00000000" w:rsidRPr="00000000">
              <w:rPr>
                <w:rtl w:val="0"/>
              </w:rPr>
            </w:r>
          </w:p>
        </w:tc>
        <w:tc>
          <w:tcPr>
            <w:gridSpan w:val="3"/>
            <w:vAlign w:val="top"/>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Значение для модели сооружений</w:t>
            </w:r>
            <w:r w:rsidDel="00000000" w:rsidR="00000000" w:rsidRPr="00000000">
              <w:rPr>
                <w:rtl w:val="0"/>
              </w:rPr>
            </w:r>
          </w:p>
        </w:tc>
      </w:tr>
      <w:tr>
        <w:trPr>
          <w:cantSplit w:val="0"/>
          <w:tblHeader w:val="0"/>
        </w:trPr>
        <w:tc>
          <w:tcPr>
            <w:vMerge w:val="continue"/>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«БАЛТЛОС 5»</w:t>
            </w:r>
            <w:r w:rsidDel="00000000" w:rsidR="00000000" w:rsidRPr="00000000">
              <w:rPr>
                <w:rtl w:val="0"/>
              </w:rPr>
            </w:r>
          </w:p>
        </w:tc>
        <w:tc>
          <w:tcPr>
            <w:vAlign w:val="top"/>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«БАЛТЛОС 6»</w:t>
            </w:r>
            <w:r w:rsidDel="00000000" w:rsidR="00000000" w:rsidRPr="00000000">
              <w:rPr>
                <w:rtl w:val="0"/>
              </w:rPr>
            </w:r>
          </w:p>
        </w:tc>
        <w:tc>
          <w:tcPr>
            <w:vAlign w:val="top"/>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«БАЛТЛОС 8»</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Кол-во человек</w:t>
            </w:r>
          </w:p>
        </w:tc>
        <w:tc>
          <w:tcPr>
            <w:vAlign w:val="top"/>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 5</w:t>
            </w:r>
          </w:p>
        </w:tc>
        <w:tc>
          <w:tcPr>
            <w:vAlign w:val="top"/>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 6</w:t>
            </w:r>
          </w:p>
        </w:tc>
        <w:tc>
          <w:tcPr>
            <w:vAlign w:val="top"/>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 8</w:t>
            </w:r>
          </w:p>
        </w:tc>
      </w:tr>
      <w:tr>
        <w:trPr>
          <w:cantSplit w:val="0"/>
          <w:tblHeader w:val="0"/>
        </w:trPr>
        <w:tc>
          <w:tcPr>
            <w:vAlign w:val="top"/>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Производительность</w:t>
            </w:r>
          </w:p>
        </w:tc>
        <w:tc>
          <w:tcPr>
            <w:vAlign w:val="top"/>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750 л/сут</w:t>
            </w:r>
          </w:p>
        </w:tc>
        <w:tc>
          <w:tcPr>
            <w:vAlign w:val="top"/>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900 л/сут</w:t>
            </w:r>
          </w:p>
        </w:tc>
        <w:tc>
          <w:tcPr>
            <w:vAlign w:val="top"/>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1300 л/сут</w:t>
            </w:r>
          </w:p>
        </w:tc>
      </w:tr>
      <w:tr>
        <w:trPr>
          <w:cantSplit w:val="0"/>
          <w:trHeight w:val="299" w:hRule="atLeast"/>
          <w:tblHeader w:val="0"/>
        </w:trPr>
        <w:tc>
          <w:tcPr>
            <w:vAlign w:val="top"/>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очистки стоков</w:t>
            </w:r>
          </w:p>
        </w:tc>
        <w:tc>
          <w:tcPr>
            <w:vAlign w:val="top"/>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98%</w:t>
            </w:r>
          </w:p>
        </w:tc>
        <w:tc>
          <w:tcPr>
            <w:vAlign w:val="top"/>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98%</w:t>
            </w:r>
          </w:p>
        </w:tc>
        <w:tc>
          <w:tcPr>
            <w:vAlign w:val="top"/>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98%</w:t>
            </w:r>
          </w:p>
        </w:tc>
      </w:tr>
      <w:tr>
        <w:trPr>
          <w:cantSplit w:val="0"/>
          <w:tblHeader w:val="0"/>
        </w:trPr>
        <w:tc>
          <w:tcPr>
            <w:vAlign w:val="top"/>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Высота корпуса станции при транспортировке</w:t>
            </w:r>
          </w:p>
        </w:tc>
        <w:tc>
          <w:tcPr>
            <w:vAlign w:val="top"/>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1400 мм</w:t>
            </w:r>
          </w:p>
        </w:tc>
        <w:tc>
          <w:tcPr>
            <w:vAlign w:val="top"/>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1650 мм</w:t>
            </w:r>
          </w:p>
        </w:tc>
        <w:tc>
          <w:tcPr>
            <w:vAlign w:val="top"/>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1900 мм</w:t>
            </w:r>
          </w:p>
        </w:tc>
      </w:tr>
      <w:tr>
        <w:trPr>
          <w:cantSplit w:val="0"/>
          <w:tblHeader w:val="0"/>
        </w:trPr>
        <w:tc>
          <w:tcPr>
            <w:vAlign w:val="top"/>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Глубина входного патрубка д. 110 мм (низ трубы)</w:t>
            </w:r>
          </w:p>
        </w:tc>
        <w:tc>
          <w:tcPr>
            <w:vAlign w:val="top"/>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1350 мм</w:t>
            </w:r>
          </w:p>
        </w:tc>
        <w:tc>
          <w:tcPr>
            <w:vAlign w:val="top"/>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1400 мм</w:t>
            </w:r>
          </w:p>
        </w:tc>
        <w:tc>
          <w:tcPr>
            <w:vAlign w:val="top"/>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1500 мм</w:t>
            </w:r>
          </w:p>
        </w:tc>
      </w:tr>
      <w:tr>
        <w:trPr>
          <w:cantSplit w:val="0"/>
          <w:tblHeader w:val="0"/>
        </w:trPr>
        <w:tc>
          <w:tcPr>
            <w:vAlign w:val="top"/>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Глубина выходного патрубка д. 110 мм (низ трубы)</w:t>
            </w:r>
          </w:p>
        </w:tc>
        <w:tc>
          <w:tcPr>
            <w:vAlign w:val="top"/>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1250 мм</w:t>
            </w:r>
          </w:p>
        </w:tc>
        <w:tc>
          <w:tcPr>
            <w:vAlign w:val="top"/>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1350 мм</w:t>
            </w:r>
          </w:p>
        </w:tc>
        <w:tc>
          <w:tcPr>
            <w:vAlign w:val="top"/>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1400 мм</w:t>
            </w:r>
          </w:p>
        </w:tc>
      </w:tr>
      <w:tr>
        <w:trPr>
          <w:cantSplit w:val="0"/>
          <w:tblHeader w:val="0"/>
        </w:trPr>
        <w:tc>
          <w:tcPr>
            <w:vAlign w:val="top"/>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Диаметр входного патрубка, ПВХ</w:t>
            </w:r>
          </w:p>
        </w:tc>
        <w:tc>
          <w:tcPr>
            <w:vAlign w:val="top"/>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110 мм</w:t>
            </w:r>
          </w:p>
        </w:tc>
        <w:tc>
          <w:tcPr>
            <w:vAlign w:val="top"/>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110 мм</w:t>
            </w:r>
          </w:p>
        </w:tc>
        <w:tc>
          <w:tcPr>
            <w:vAlign w:val="top"/>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110 мм</w:t>
            </w:r>
          </w:p>
        </w:tc>
      </w:tr>
      <w:tr>
        <w:trPr>
          <w:cantSplit w:val="0"/>
          <w:tblHeader w:val="0"/>
        </w:trPr>
        <w:tc>
          <w:tcPr>
            <w:vAlign w:val="top"/>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Диаметр выходного патрубка, ПВХ</w:t>
            </w:r>
          </w:p>
        </w:tc>
        <w:tc>
          <w:tcPr>
            <w:vAlign w:val="top"/>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110 мм</w:t>
            </w:r>
          </w:p>
        </w:tc>
        <w:tc>
          <w:tcPr>
            <w:vAlign w:val="top"/>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110 мм</w:t>
            </w:r>
          </w:p>
        </w:tc>
        <w:tc>
          <w:tcPr>
            <w:vAlign w:val="top"/>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110 мм</w:t>
            </w:r>
          </w:p>
        </w:tc>
      </w:tr>
      <w:tr>
        <w:trPr>
          <w:cantSplit w:val="0"/>
          <w:tblHeader w:val="0"/>
        </w:trPr>
        <w:tc>
          <w:tcPr>
            <w:vAlign w:val="top"/>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Номинальная мощность компрессора, Вт</w:t>
            </w:r>
          </w:p>
        </w:tc>
        <w:tc>
          <w:tcPr>
            <w:vAlign w:val="top"/>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w:t>
            </w:r>
          </w:p>
        </w:tc>
        <w:tc>
          <w:tcPr>
            <w:vAlign w:val="top"/>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w:t>
            </w:r>
          </w:p>
        </w:tc>
        <w:tc>
          <w:tcPr>
            <w:vAlign w:val="top"/>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w:t>
            </w:r>
          </w:p>
        </w:tc>
      </w:tr>
      <w:tr>
        <w:trPr>
          <w:cantSplit w:val="0"/>
          <w:tblHeader w:val="0"/>
        </w:trPr>
        <w:tc>
          <w:tcPr>
            <w:vAlign w:val="top"/>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Толщина корпуса</w:t>
            </w:r>
          </w:p>
        </w:tc>
        <w:tc>
          <w:tcPr>
            <w:vAlign w:val="top"/>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мм</w:t>
            </w:r>
          </w:p>
        </w:tc>
        <w:tc>
          <w:tcPr>
            <w:vAlign w:val="top"/>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мм</w:t>
            </w:r>
          </w:p>
        </w:tc>
        <w:tc>
          <w:tcPr>
            <w:vAlign w:val="top"/>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мм</w:t>
            </w:r>
          </w:p>
        </w:tc>
      </w:tr>
      <w:tr>
        <w:trPr>
          <w:cantSplit w:val="0"/>
          <w:tblHeader w:val="0"/>
        </w:trPr>
        <w:tc>
          <w:tcPr>
            <w:vAlign w:val="top"/>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Расположение компрессора</w:t>
            </w:r>
          </w:p>
        </w:tc>
        <w:tc>
          <w:tcPr>
            <w:gridSpan w:val="3"/>
            <w:vAlign w:val="top"/>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крышке станции</w:t>
            </w:r>
          </w:p>
        </w:tc>
      </w:tr>
    </w:tbl>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1.6 Состав изделия</w:t>
      </w: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Изделия представляют собой емкости и конструкции, обладающие малым удельным весом, высокой влагостойкостью и атмосферостойкостью, низкой теплопроводности из композитного материала, состоящего из стеклонаполнителя и связующего полимера, получаемые методом контактного (ручного) формования, напыления, прессования, инжекции полиэфирной смолы в закрытую форму, вакуумной инфузии.</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Установка является проектно-компонуемым изделием, габаритные размеры которых зависят от функционального назначения и производительности сооружения, и могут поставляться, в том числе, в виде комплекта собираемого на месте эксплуатации.</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Схематично основные узлы и составные части очистных сооружений приведены на рис. 2.</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Pr>
        <w:drawing>
          <wp:inline distB="0" distT="0" distL="114300" distR="114300">
            <wp:extent cx="4667250" cy="3627120"/>
            <wp:effectExtent b="0" l="0" r="0" t="0"/>
            <wp:docPr id="6"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4667250" cy="3627120"/>
                    </a:xfrm>
                    <a:prstGeom prst="rect"/>
                    <a:ln/>
                  </pic:spPr>
                </pic:pic>
              </a:graphicData>
            </a:graphic>
          </wp:inline>
        </w:drawing>
      </w: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 2 Функциональные узлы ЛОС</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tab/>
        <w:t xml:space="preserve">Стеклопластиковый корпус;</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tab/>
        <w:t xml:space="preserve">Люк обслуживания;</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tab/>
        <w:t xml:space="preserve">Биозагрузка;</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tab/>
        <w:t xml:space="preserve">Диффузор;</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tab/>
        <w:t xml:space="preserve">Входной патрубок;</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tab/>
        <w:t xml:space="preserve">Выходной патрубок;</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tab/>
        <w:t xml:space="preserve">Воздуходувка EL-60.</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1.7 Устройство и работа</w:t>
      </w: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основу локальной очистной установки заложена работа аэрационной камеры и отстойника.</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состав ЛОУ входит:</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эрофильтр;</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аэратор;</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компрессор;</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вторичный отстойник (зона отстаивания).</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Биологическая очистка сточных вод начинается в аэрационной камере и заканчивается на выходе из отстойника.</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1.8 Описание и работа составных частей изделия</w:t>
      </w: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Локальные очистные сооружения представляют собой вертикальную ёмкость, состоящую из двух рабочих камер: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аэрофильтра и зоны отстаивания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Процесс очистки сточных вод осуществляется в проточном режиме с непрерывной подачей стоков в аэрационную камеру. В центре установлен аэратор, обеспечивающий равномерную подачу воздуха по всему объему сооружения крупнопузырчатой аэрацией. Подача воздуха осуществляется от компрессора, подающего воздух. Постоянный приток воздуха позволяет размножаться различным аэробным микроорганизмам, которые используют для питания находящиеся в сточных водах органические вещества и биологически расщепляют загрязнения стоков. Биологическая пленка обладает устойчивой способностью к очистке сточных вод, непрерывному воспроизводству и удалению старой биомассы. Продолжительность аэрации -  24 часов, количество подаваемого кислорода рассчитано таким образом, что обеспечивается биологическая очистка, содержание БПК полн. уменьшается до 15 мг/л.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удаления взвешенных веществ стоки подаются в зону отстаивания, выполненную в виде вторичного отстойника, в которой вода отделяется от биопленки, выгрузка удаленной биопленки осуществляется с помощью эрлифта.  Время пребывания в отстойнике - 3 час, что позволяет достигнуть  содержания по взвешенным веществам до 20 мг/л.</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КОМПЛЕКТНОСТЬ</w:t>
      </w: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 В стандартный комплект поставки очистных сооружений входит оборудование и документация согласно таблице 3.</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Таблица 3 Комплектность поставки</w:t>
      </w:r>
    </w:p>
    <w:tbl>
      <w:tblPr>
        <w:tblStyle w:val="Table3"/>
        <w:tblW w:w="1003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4"/>
        <w:gridCol w:w="4678"/>
        <w:gridCol w:w="1844"/>
        <w:gridCol w:w="2801"/>
        <w:gridCol w:w="34"/>
        <w:tblGridChange w:id="0">
          <w:tblGrid>
            <w:gridCol w:w="674"/>
            <w:gridCol w:w="4678"/>
            <w:gridCol w:w="1844"/>
            <w:gridCol w:w="2801"/>
            <w:gridCol w:w="34"/>
          </w:tblGrid>
        </w:tblGridChange>
      </w:tblGrid>
      <w:tr>
        <w:trPr>
          <w:cantSplit w:val="0"/>
          <w:tblHeader w:val="0"/>
        </w:trPr>
        <w:tc>
          <w:tcPr>
            <w:vAlign w:val="center"/>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400"/>
                <w:tab w:val="left" w:pos="8820"/>
              </w:tabs>
              <w:spacing w:after="0" w:before="0" w:line="240" w:lineRule="auto"/>
              <w:ind w:left="0" w:right="7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п/п</w:t>
            </w:r>
          </w:p>
        </w:tc>
        <w:tc>
          <w:tcPr>
            <w:vAlign w:val="center"/>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Наименование комплекта</w:t>
            </w:r>
          </w:p>
        </w:tc>
        <w:tc>
          <w:tcPr>
            <w:vAlign w:val="center"/>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Кол-во</w:t>
            </w:r>
          </w:p>
        </w:tc>
        <w:tc>
          <w:tcPr>
            <w:gridSpan w:val="2"/>
            <w:vAlign w:val="center"/>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 грузового места</w:t>
            </w:r>
          </w:p>
        </w:tc>
      </w:tr>
      <w:tr>
        <w:trPr>
          <w:cantSplit w:val="0"/>
          <w:tblHeader w:val="0"/>
        </w:trPr>
        <w:tc>
          <w:tcPr>
            <w:vAlign w:val="center"/>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4"/>
                <w:tab w:val="left" w:pos="6400"/>
                <w:tab w:val="left" w:pos="8820"/>
              </w:tabs>
              <w:spacing w:after="0" w:before="0" w:line="240" w:lineRule="auto"/>
              <w:ind w:left="0" w:right="60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center"/>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400"/>
                <w:tab w:val="left" w:pos="8820"/>
              </w:tabs>
              <w:spacing w:after="0" w:before="0" w:line="240" w:lineRule="auto"/>
              <w:ind w:left="0" w:right="-10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Локальное очистное сооружение соответствующей модели</w:t>
            </w:r>
          </w:p>
        </w:tc>
        <w:tc>
          <w:tcPr>
            <w:vAlign w:val="center"/>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400"/>
                <w:tab w:val="left" w:pos="882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gridSpan w:val="2"/>
            <w:vAlign w:val="center"/>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400"/>
                <w:tab w:val="left" w:pos="882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упаковки</w:t>
            </w:r>
          </w:p>
        </w:tc>
      </w:tr>
      <w:tr>
        <w:trPr>
          <w:cantSplit w:val="0"/>
          <w:tblHeader w:val="0"/>
        </w:trPr>
        <w:tc>
          <w:tcPr>
            <w:vAlign w:val="center"/>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0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center"/>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400"/>
                <w:tab w:val="left" w:pos="8820"/>
              </w:tabs>
              <w:spacing w:after="0" w:before="0" w:line="240" w:lineRule="auto"/>
              <w:ind w:left="0" w:right="-10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ЗИП</w:t>
            </w:r>
          </w:p>
        </w:tc>
        <w:tc>
          <w:tcPr>
            <w:vAlign w:val="center"/>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400"/>
                <w:tab w:val="left" w:pos="882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комплект</w:t>
            </w:r>
          </w:p>
        </w:tc>
        <w:tc>
          <w:tcPr>
            <w:gridSpan w:val="2"/>
            <w:vAlign w:val="center"/>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400"/>
                <w:tab w:val="left" w:pos="8820"/>
              </w:tabs>
              <w:spacing w:after="0" w:before="0" w:line="240" w:lineRule="auto"/>
              <w:ind w:left="0" w:right="-15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ЗИП</w:t>
            </w:r>
          </w:p>
        </w:tc>
      </w:tr>
      <w:tr>
        <w:trPr>
          <w:cantSplit w:val="0"/>
          <w:tblHeader w:val="0"/>
        </w:trPr>
        <w:tc>
          <w:tcPr>
            <w:gridSpan w:val="5"/>
            <w:vAlign w:val="center"/>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400"/>
                <w:tab w:val="left" w:pos="8820"/>
              </w:tabs>
              <w:spacing w:after="0" w:before="0" w:line="240" w:lineRule="auto"/>
              <w:ind w:left="0" w:right="-15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Эксплуатационная документация</w:t>
            </w:r>
          </w:p>
        </w:tc>
      </w:tr>
      <w:tr>
        <w:trPr>
          <w:cantSplit w:val="0"/>
          <w:tblHeader w:val="0"/>
        </w:trPr>
        <w:tc>
          <w:tcPr>
            <w:vAlign w:val="center"/>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center"/>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400"/>
                <w:tab w:val="left" w:pos="8820"/>
              </w:tabs>
              <w:spacing w:after="0" w:before="0" w:line="240" w:lineRule="auto"/>
              <w:ind w:left="0" w:right="-10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Паспорт, совмещенный с Руководством по эксплуатации</w:t>
            </w:r>
          </w:p>
        </w:tc>
        <w:tc>
          <w:tcPr>
            <w:vAlign w:val="center"/>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400"/>
                <w:tab w:val="left" w:pos="882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экз</w:t>
            </w:r>
          </w:p>
        </w:tc>
        <w:tc>
          <w:tcPr>
            <w:gridSpan w:val="2"/>
            <w:vAlign w:val="center"/>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400"/>
                <w:tab w:val="left" w:pos="8820"/>
              </w:tabs>
              <w:spacing w:after="0" w:before="0" w:line="240" w:lineRule="auto"/>
              <w:ind w:left="0" w:right="-15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Емкости могут оснащаться фильтрующими загрузками и реагентами.</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МОНТАЖ ОЧИСТНЫХ СООРУЖЕНИЙ</w:t>
      </w: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782"/>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3.1 Организация монтажных работ</w:t>
      </w: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Процесс монтажа подразделяют на подготовительный и собственно монтажный периоды.</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Подготовительные работы связаны с подготовкой к проведению монтажа очистных сооружений и включает следующее:</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отгрузку ЛОС, подлежащих монтажу, их разгрузку на монтажной площадке, осмотр и проверку комплектности узлов и деталей, а также частичную пригонку;</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выбор месторасположения очистных сооружений;</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полное укомплектование узлов перед монтажом.</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Производство монтажных работ включает следующее:</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установку и размещение очистных сооружений;</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проведение такелажных работ, связанных с подъёмом, перемещением, установкой и засыпкой ЛОС;</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окончательную наладку после выполнения монтажа или установки.</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3.2 Выбор места</w:t>
      </w: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ЛОС предназначеныдля подземной установки в сухих и мокрых грунтах. Сооружения устанавливаются в сухих грунтах на песчаных подушках, в мокрых грунтах на бетонных подушках с закладными деталями или на седловых опорах. Климатическое исполнение изделий УХЛ категории размещения 1 по ГОСТ 15150. Сооружения рассчитаны на установку в географических районах с сейсмичностью менее 7 баллов по принятой в РФ двенадцатибальной шкале. Возможность эксплуатации в районах с сейсмичностью 7 и более баллов определяется расчетом на сейсмичность, выполненным специализированной организацией, и ее рекомендациями по усилению требуемых расчетом элементов конструкции изделий.</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Сооружения рассчитаны на непрерывную, круглогодичную эксплуатацию.</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Характеристики грунтов:</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 сухие грунты:</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Удельный вес грунта 1,7 тс/м (17 кН/м);</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Угол естественного откоса 30 º;</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Максимальная высота засыпки грунта над верхней образующей наружной стенки 1020 мм без других временных нагрузок на поверхности;</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 мокрые грунты: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Удельный вес грунта 2,0 тс/м (17 кН/м);</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Коэффициент пористости 0,4.</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3.3 Подготовка места</w:t>
      </w: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38"/>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проекте должно быть указано место очистного оборудования, расстояние от дома и места, предусмотренного для слива очищенной воды. Проверьте, соответствует ли Ваш проект реальной ситуации.</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38"/>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проекте должно быть указано место очистного оборудования, расстояние от дома и места, предусмотренного для слива очищенной воды. Проверьте,  соответствует ли Ваш проект реальной ситуации.</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38"/>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Место для очистного оборудования должно быть подобрано так, чтобы очищенная вода могла сама стекать, оборудование также не может стоять низко, в месте накопления дождевых/грунтовых вод.</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38"/>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Смотровой люк должен быть доступен для постоянной проверки и для того,  чтобы система работала правильно.</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38"/>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Проверьте, каков диаметр вашей канализационной трубы. Проверьте, чтобы был выдержан уклон, необходимый для самотека сточных вод.</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38"/>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38"/>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ПОДГОТОВКА К ЗЕМЕЛЬНЫМ РАБОТАМ: очистите площадку, с хотя бы полуметровым запасом вокруг, чем размеры очистного оборудования.</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38"/>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ЗЕМЛЯНЫЕ РАБОТЫ: Выкопать землю необходимо как минимум на высоту оборудования.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38"/>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ПРИМЕЧАНИЕ: если канализационная труба Вашего дома пролегает очень глубоко, придется дополнительно устанавливать повышающие кольца. ВАЖНО не выкопать слишком глубокую/слишком большую яму, иначе пустое пространство придется заполнять щебенкой или гравием.</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Начиная с метра от дна, выкапываемая яма должна постепенно расширяться так, чтобы вверху ее ширина была на 0,7 м шире, чем сама ширина оборудования.</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3.4 Установка оборудования</w:t>
      </w: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ВНИМАНИЕ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Качество работы оборудования очень зависит от правильной его установки.</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508"/>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Устанавливается оборудование согласно заранее подготовленному и согласованному с соответствующими учреждениями проекту.</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508"/>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Яма для очистного оборудования выкапывается с помощью трактора-экскаватора с обратным ковшом.</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25"/>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Когда до проектного дна ямы остается 20-30 см, копать прекращают. Далее копают вручную лопатой. Это делается для того, чтобы очистное оборудование своим дном уперлось в непотревоженную землю и в ходе эксплуатации не осело.</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25"/>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Перед тем, как опустить оборудование в яму, обязательно проверьте, совпадает ли диаметр раструба с диаметром входящих и выходящих труб сточных вод. Проверьте, соответствует ли глубина трубы, подающей сточные воды, высоте поступающего раструба оборудования, а также углы поступающих и исходящих труб очистного оборудования.</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25"/>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Оборудование опускается в яму, зацепив его ковшом экскаватора. Осторожно опустив в яму, оборудование выравнивается с помощью нивелира. Если выкопанная яма чересчур глубока или мала, поднимите оборудование и докопайте яму или заполните гравием тем самым углубив/уменьшив яму.</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25"/>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Промежуток между краем ямы и очистным оборудованием постепенно заполняется гравием, заранее привезенным в место установки, который в промежутки засыпается слоями по 20-30 см, и каждый из слоев тщательно утрамбовывается. Если гравий сухой, уплотняя его, увлажняют водой.</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36"/>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 тем, чтобы оборудование во время работ не осело в землю, а также с тем, чтобы оно не поднялось на поверхность земли в ходе установки (при близкозалегающих грунтовых водах), в яму вокруг оборудования засыпается гравий, с одновременным заполнением водой сооружения.</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36"/>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После нанесения клея на трубы плотно соедините их. Проверьте, чтобы трубы упирались в твердую основу и были неподвижны.</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25"/>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Соедините диффузор и трубку подачи воздуха.</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25"/>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 тем, чтобы очистное оборудование работало исправно, важно, чтобы порог переполнения,  находящийся в его верхней части, занимал горизонтальное положение. Этого добиваются в начале монтажных работ, заливая водой в верхней части находящийся окружной желоб (внутренняя боковая стенка которого и является порогом переполнения) и по положению поверхности воды по отношению к переливному порожку корректируется положение всего очистного оборудования.</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25"/>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Когда оборудование выравнивается и гравий засыпается до уровня входящей трубы сточных вод, тогда люк закрывают.</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25"/>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люк сыпьте гравия столько, чтобы на поверхности он почти сравнялся со смотровым люком.</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425"/>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ходе установки очистного оборудования под проезжей частью над ним укладывается железобетонная плита, распределяющая нагрузку от транспортных средств.</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3.5 Электрические соединения</w:t>
      </w:r>
      <w:r w:rsidDel="00000000" w:rsidR="00000000" w:rsidRPr="00000000">
        <w:rPr>
          <w:rtl w:val="0"/>
        </w:rPr>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Подключение к электросети должно выполняться специалистом-электриком.</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Обеспечьте подачу электропитания к оборудованию в соответствии с действующим законодательством, а также примите все меры безопасности в зависимости от места установки и предполагаемых условий эксплуатации.</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Перед выполнением подключения проверьте, чтобы напряжение и частота в сети электропитания соответствовали указанным на шильдике компрессора значениям.</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Отключайте электропитание перед выполнением любых работ и используйте подходящие средства, чтобы исключить вероятность случайного подключения.</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Используйте электрические кабели с поперечным сечением, соответствующим потреблению мощности мотора или оборудования.</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Тип подключения компрессора зависит от значения подаваемого напряжения.</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ИСПОЛЬЗОВАНИЕ ПО НАЗНАЧЕНИЮ</w:t>
      </w: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4.1 Эксплуатационные ограничения</w:t>
      </w: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 ходе эксплуатации очистного сооружения нужно избегать:</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047750" cy="1047750"/>
            <wp:effectExtent b="0" l="0" r="0" t="0"/>
            <wp:wrapNone/>
            <wp:docPr id="9"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1047750" cy="1047750"/>
                    </a:xfrm>
                    <a:prstGeom prst="rect"/>
                    <a:ln/>
                  </pic:spPr>
                </pic:pic>
              </a:graphicData>
            </a:graphic>
          </wp:anchor>
        </w:drawing>
      </w:r>
    </w:p>
    <w:p w:rsidR="00000000" w:rsidDel="00000000" w:rsidP="00000000" w:rsidRDefault="00000000" w:rsidRPr="00000000" w14:paraId="0000015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ffffff" w:val="clear"/>
        <w:tabs>
          <w:tab w:val="left" w:pos="292"/>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Избегайте, чтобы в оборудование не попали биологически нерасщепляемые элементы: бумажные полотенца, носовые платки, резиновые или пластмассовые изделия.</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292"/>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ffffff" w:val="clear"/>
        <w:tabs>
          <w:tab w:val="left" w:pos="292"/>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оборудование не должно попасть большое количество жиров.</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292"/>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ВНИМАНИЕ!  Очистное оборудование сточных вод справляется с нормальными количествами моющих, стирающих средств и других химикатов, используемых в быте, избегайте, однако, чтобы в оборудование они не попали в больших количествах.</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292"/>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ffffff" w:val="clear"/>
        <w:tabs>
          <w:tab w:val="left" w:pos="28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Оборудование необходимо изолировать от возможного попадания внутрь грунтовых/дождевых вод. Оборудование не должно находиться в воде.</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28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ffffff" w:val="clear"/>
        <w:tabs>
          <w:tab w:val="left" w:pos="28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Присматривайте за тем, чтобы в оборудование не попали другие сточные воды, кроме канализационных.</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28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ffffff" w:val="clear"/>
        <w:tabs>
          <w:tab w:val="left" w:pos="28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Рекомендуем не ремонтировать оборудования самим и не заменять его детали по своему усмотрению.</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очистное оборудование не должна попадать прополаскивающая вода из фильтров, предназначенных для смягчения и улучшения питьевой воды!</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Через оборудование также нельзя пропускать воду, спущенную из бассейнов!</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4.2 Инструкция по откачке избыточного ила</w:t>
      </w: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ffffff" w:val="clear"/>
        <w:tabs>
          <w:tab w:val="left" w:pos="24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Отключите компрессор от электрической сети.</w:t>
      </w:r>
    </w:p>
    <w:p w:rsidR="00000000" w:rsidDel="00000000" w:rsidP="00000000" w:rsidRDefault="00000000" w:rsidRPr="00000000" w14:paraId="0000016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ffffff" w:val="clear"/>
        <w:tabs>
          <w:tab w:val="left" w:pos="24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места, указанного крестиком, отсоедините трубочку подачи воздуха и осторожно вытащите ее из внутренней трубы в самом оборудовании, стараясь не сломать саму трубочку.</w:t>
      </w:r>
    </w:p>
    <w:p w:rsidR="00000000" w:rsidDel="00000000" w:rsidP="00000000" w:rsidRDefault="00000000" w:rsidRPr="00000000" w14:paraId="0000016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ffffff" w:val="clear"/>
        <w:tabs>
          <w:tab w:val="left" w:pos="24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 внутреннюю трубу в самом оборудовании осторожно вставьте откачивающий шланг ассенизационной машины, полностью откачайте 2/3 из оборудования.</w:t>
      </w:r>
    </w:p>
    <w:p w:rsidR="00000000" w:rsidDel="00000000" w:rsidP="00000000" w:rsidRDefault="00000000" w:rsidRPr="00000000" w14:paraId="0000016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ffffff" w:val="clear"/>
        <w:tabs>
          <w:tab w:val="left" w:pos="263"/>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После наполнения оборудования на одну треть (до начала конуса) вытащите шланг и снова подсоедините трубочку подачи воздуха.</w:t>
      </w:r>
    </w:p>
    <w:p w:rsidR="00000000" w:rsidDel="00000000" w:rsidP="00000000" w:rsidRDefault="00000000" w:rsidRPr="00000000" w14:paraId="0000017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ffffff" w:val="clear"/>
        <w:tabs>
          <w:tab w:val="left" w:pos="263"/>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Оставшуюся часть оборудования НЕОБХОДИМО В ТОТ ЖЕ ДЕНЬ НАПОЛНИТЬ ВОДОЙ! Не сделав этого, может начаться брожение ила.</w:t>
      </w:r>
    </w:p>
    <w:p w:rsidR="00000000" w:rsidDel="00000000" w:rsidP="00000000" w:rsidRDefault="00000000" w:rsidRPr="00000000" w14:paraId="0000017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ffffff" w:val="clear"/>
        <w:tabs>
          <w:tab w:val="left" w:pos="263"/>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Присоедините трубочку подачи воздуха и положив люк на свое место, включите компрессор.</w:t>
      </w:r>
    </w:p>
    <w:p w:rsidR="00000000" w:rsidDel="00000000" w:rsidP="00000000" w:rsidRDefault="00000000" w:rsidRPr="00000000" w14:paraId="0000017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ffffff" w:val="clear"/>
        <w:tabs>
          <w:tab w:val="left" w:pos="28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следующий день после промывки оборудования проверьте, не появился ли запах, пена, как выглядит ил.</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28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Отходы, полученные в процессе очистки, принадлежат ко II категории (нерастворимые в воде и слаборастворимые в органических кислотах, содержание в грунте не лимитируются), другими словами, данные отходы имеют IV класс опасности, поэтому, после обезвоживания, осадок подлежит складированию совместно с твердыми коммунальными  отходами (ТКО).</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28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4.3 Способы утилизация очищенной воды</w:t>
      </w: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Утилизация очищенной воды может осуществляться следующим образом:</w:t>
      </w:r>
    </w:p>
    <w:p w:rsidR="00000000" w:rsidDel="00000000" w:rsidP="00000000" w:rsidRDefault="00000000" w:rsidRPr="00000000" w14:paraId="0000017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сброс на рельеф;</w:t>
      </w:r>
    </w:p>
    <w:p w:rsidR="00000000" w:rsidDel="00000000" w:rsidP="00000000" w:rsidRDefault="00000000" w:rsidRPr="00000000" w14:paraId="0000017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сброс в водоем;</w:t>
      </w:r>
    </w:p>
    <w:p w:rsidR="00000000" w:rsidDel="00000000" w:rsidP="00000000" w:rsidRDefault="00000000" w:rsidRPr="00000000" w14:paraId="0000017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фильтрационные колодцы;</w:t>
      </w:r>
    </w:p>
    <w:p w:rsidR="00000000" w:rsidDel="00000000" w:rsidP="00000000" w:rsidRDefault="00000000" w:rsidRPr="00000000" w14:paraId="0000017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фильтрационные кассеты;</w:t>
      </w:r>
    </w:p>
    <w:p w:rsidR="00000000" w:rsidDel="00000000" w:rsidP="00000000" w:rsidRDefault="00000000" w:rsidRPr="00000000" w14:paraId="0000017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фильтрующие траншеи.</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Выбор того или иного способа утилизации воды, прошедшей очистку на ЛОУ «БАЛТОС», зависит от многих факторов и должен определяться проектом или расчетом в соответствии со СП 32.13330.2018 «Канализация. Наружные сети и сооружения».</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устройстве объектов фильтрации возможны следующие случаи:</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Грунты песчаные или супесчаные, в этом случае устраивают фильтрационный колодец.</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Грунты сложены суглинком, в этом случае устраивают фильтрационные кассеты.</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Грунты водонепроницаемы (глина, скальные породы), в этом случае устраиваются фильтрующие траншеи со сбросом очищенной воды в водоёмы, овраги и т.п.</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высоком уровне грунтовых вод оборудование располагают выше уровня грунтовых вод в «обваловке».</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 ТЕХНИЧЕСКОЕ ОБСЛУЖИВАНИЕ</w:t>
      </w: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5.1 С целью обеспечения надежной работы очистных сооружений при его эксплуатации своевременно должно выполняться уход и техническое обслуживание.</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Техническое обслуживание ЛОС заключается в своевременном выполнении определенного комплекса работ по уходу за сооружением с целью предупреждения неисправностей и поддержания изделия в постоянной готовности к работе.</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Выполнение операций технического обслуживания является обязательным условием длительной и надежной эксплуатации очистных сооружений.</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Оборудование по очистке сточных вод эффективно очищает сточные воды с помощью аэробных микробов, расщепляющих органические загрязняющие вещества.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5.2 При уходе за очистным оборудованием рекомендуется :</w:t>
      </w:r>
    </w:p>
    <w:p w:rsidR="00000000" w:rsidDel="00000000" w:rsidP="00000000" w:rsidRDefault="00000000" w:rsidRPr="00000000" w14:paraId="0000018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tabs>
          <w:tab w:val="left" w:pos="51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Компрессор размещать в сухом и хорошо проветриваемом помещении; при установке его на улице, позаботиться о герметичном и проверенном ящике.</w:t>
      </w:r>
    </w:p>
    <w:p w:rsidR="00000000" w:rsidDel="00000000" w:rsidP="00000000" w:rsidRDefault="00000000" w:rsidRPr="00000000" w14:paraId="0000018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tabs>
          <w:tab w:val="left" w:pos="51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Проследить за тем, чтобы компрессор работал постоянно и был постоянно подключен к электросети.</w:t>
      </w:r>
    </w:p>
    <w:p w:rsidR="00000000" w:rsidDel="00000000" w:rsidP="00000000" w:rsidRDefault="00000000" w:rsidRPr="00000000" w14:paraId="0000018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tabs>
          <w:tab w:val="left" w:pos="51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Оборудование необходимо проверять не реже раза в полгода (если оно используется для очистки бытовых сточных вод одной семьи). Если очищаются сточные воды бюро или других учреждений, осмотр должен проводиться чаще.</w:t>
      </w:r>
    </w:p>
    <w:p w:rsidR="00000000" w:rsidDel="00000000" w:rsidP="00000000" w:rsidRDefault="00000000" w:rsidRPr="00000000" w14:paraId="0000018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tabs>
          <w:tab w:val="left" w:pos="51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Проверять, чтобы крышка Вашего очистного оборудования была герметично и с соблюдением безопасности закрыта, во избежание незаконного присоединения посторонних к Вашему оборудованию.</w:t>
      </w:r>
    </w:p>
    <w:p w:rsidR="00000000" w:rsidDel="00000000" w:rsidP="00000000" w:rsidRDefault="00000000" w:rsidRPr="00000000" w14:paraId="0000018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tabs>
          <w:tab w:val="left" w:pos="51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Необходимо периодически проверять, герметична ли трубочка подачи воздуха и соединения.</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51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5.3 Проверяя компрессор необходимо:</w:t>
      </w:r>
    </w:p>
    <w:p w:rsidR="00000000" w:rsidDel="00000000" w:rsidP="00000000" w:rsidRDefault="00000000" w:rsidRPr="00000000" w14:paraId="0000019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проверять, чисты ли фильтры компрессора. Если необходимо, прочистить их или заменить;</w:t>
      </w:r>
    </w:p>
    <w:p w:rsidR="00000000" w:rsidDel="00000000" w:rsidP="00000000" w:rsidRDefault="00000000" w:rsidRPr="00000000" w14:paraId="0000019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ffffff" w:val="clear"/>
        <w:tabs>
          <w:tab w:val="left" w:pos="655"/>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проверять, не нагревается ли воздуходувка;</w:t>
      </w:r>
    </w:p>
    <w:p w:rsidR="00000000" w:rsidDel="00000000" w:rsidP="00000000" w:rsidRDefault="00000000" w:rsidRPr="00000000" w14:paraId="0000019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проверять, нет ли утечки воздуха в местах соединений или в трубке подачи воздуха;</w:t>
      </w:r>
    </w:p>
    <w:p w:rsidR="00000000" w:rsidDel="00000000" w:rsidP="00000000" w:rsidRDefault="00000000" w:rsidRPr="00000000" w14:paraId="0000019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ffffff" w:val="clear"/>
        <w:tabs>
          <w:tab w:val="left" w:pos="652"/>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проверять, не усилился ли шум или не появилась ли вибрация.</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652"/>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565"/>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5.4 Регулярно выкачивать  2/3  избыточного ила,  который  накапливается  в нижней части оборудования. По поводу частоты и способа откачки проконсультируйтесь с представителями ООО «Профбурмонтаж». Обычное очистное оборудование, обслуживающее жилой дом с одной семьей необходимо чистить раз в 1,5-2 года, оборудование же обслуживающее учреждение чистится чаще.</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565"/>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5.5 Следить также за тем, не появились ли запахи в оборудовании, каков цвет бурлящих сточных вод, не появилось ли большое количество пены. Обязательно</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необходимо смотреть, не появилось ли в оборудовании избыточное количество жиров или биологически нерасщепляемых частичек. При необходимости вымыть эти накопления. Советуем проверить, как выглядит сам ил. Для этого возьмите небольшое его количество и следите, как быстро он осядет, каков его цвет и имеется ли запах. Сам ил в аэрационной части (там, где он бурлит) должен быть коричневого, шоколадного цвета, должен быстро оседать, а из очистного оборудования выливаться прозрачная вода без запаха. Если цвет ила сероватый, частички оседают медленно и из очистного оборудования вытекает мутная вода с неприятным запахом - все это указывает на то, что ил - слабый и его работа недостаточна.</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5.6 При возникновении неполадок, незамедлительно свяжитесь с представителями ООО «Профбурмонтаж». Наши специалисты надлежащим образом решат проблему и обеспечат эффективную дальнейшую работу оборудования.</w:t>
      </w: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 ТЕКУЩИЙ РЕМОНТ</w:t>
      </w:r>
      <w:r w:rsidDel="00000000" w:rsidR="00000000" w:rsidRPr="00000000">
        <w:rPr>
          <w:rtl w:val="0"/>
        </w:rPr>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6.1 В процессе эксплуатации ЛОС могут возникнуть разного рода неисправности, для устранения которых следует принять необходимые меры, не допускающие возможности выхода очистных сооружений из строя.</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6.2 Порядок проведения ремонтных осмотров и текущих ремонтов приведен в настоящем разделе.</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6.3 Текущий ремонт предназначен для поддержания ЛОС в работоспособном состоянии.</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6.4 При этом производиться замена изношенных деталей, составных частей, пришедших в негодность вследствие внешних воздействий.</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6.5 Наиболее часто встречающиеся или возможные неисправности и методы их устранения приведены в таблице 4.</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Таблица 4 – Текущий ремонт очистных сооружений</w:t>
      </w:r>
    </w:p>
    <w:tbl>
      <w:tblPr>
        <w:tblStyle w:val="Table4"/>
        <w:tblW w:w="10586.0" w:type="dxa"/>
        <w:jc w:val="left"/>
        <w:tblInd w:w="-65.0" w:type="dxa"/>
        <w:tblLayout w:type="fixed"/>
        <w:tblLook w:val="0000"/>
      </w:tblPr>
      <w:tblGrid>
        <w:gridCol w:w="1101"/>
        <w:gridCol w:w="2693"/>
        <w:gridCol w:w="3118"/>
        <w:gridCol w:w="3674"/>
        <w:tblGridChange w:id="0">
          <w:tblGrid>
            <w:gridCol w:w="1101"/>
            <w:gridCol w:w="2693"/>
            <w:gridCol w:w="3118"/>
            <w:gridCol w:w="3674"/>
          </w:tblGrid>
        </w:tblGridChange>
      </w:tblGrid>
      <w:tr>
        <w:trPr>
          <w:cantSplit w:val="0"/>
          <w:trHeight w:val="548"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Вытекающая вода</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Возможные неполадки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Исправление неполадок</w:t>
            </w:r>
          </w:p>
        </w:tc>
      </w:tr>
      <w:tr>
        <w:trPr>
          <w:cantSplit w:val="0"/>
          <w:trHeight w:val="548" w:hRule="atLeast"/>
          <w:tblHeader w:val="0"/>
        </w:trPr>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Чистая</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Нормальные условия запуска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нужно. Проверить через 3 мес.</w:t>
            </w:r>
          </w:p>
        </w:tc>
      </w:tr>
      <w:tr>
        <w:trPr>
          <w:cantSplit w:val="0"/>
          <w:trHeight w:val="517" w:hRule="atLeast"/>
          <w:tblHeader w:val="0"/>
        </w:trPr>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Чистая или слегка замутнённая</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Небольшая нехватка пищи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Уменьшить объём воздух</w:t>
            </w:r>
          </w:p>
        </w:tc>
      </w:tr>
      <w:tr>
        <w:trPr>
          <w:cantSplit w:val="0"/>
          <w:trHeight w:val="548" w:hRule="atLeast"/>
          <w:tblHeader w:val="0"/>
        </w:trPr>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Небольшое количество осадка в час пик</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Чрезмерное количество ила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Произвести откачку</w:t>
            </w:r>
          </w:p>
        </w:tc>
      </w:tr>
      <w:tr>
        <w:trPr>
          <w:cantSplit w:val="0"/>
          <w:trHeight w:val="548" w:hRule="atLeast"/>
          <w:tblHeader w:val="0"/>
        </w:trPr>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Мутная, серо-голубая</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Слабая аэрация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Проверить линию подачи воздуха</w:t>
            </w:r>
          </w:p>
        </w:tc>
      </w:tr>
      <w:tr>
        <w:trPr>
          <w:cantSplit w:val="0"/>
          <w:trHeight w:val="517" w:hRule="atLeast"/>
          <w:tblHeader w:val="0"/>
        </w:trPr>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Серая</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Чрезмерное количество жиров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допускать попадание жиров в очистное устройство, необходимо поставить жировую ловушку</w:t>
            </w:r>
          </w:p>
        </w:tc>
      </w:tr>
      <w:tr>
        <w:trPr>
          <w:cantSplit w:val="0"/>
          <w:trHeight w:val="578" w:hRule="atLeast"/>
          <w:tblHeader w:val="0"/>
        </w:trPr>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Мутная, серо-голубая</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Большое количество воды из прачечных.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устройство попало большое количество жиров или нефти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Найти источник токсических веществ и устранить его. Полностью откачать и снова запустить.</w:t>
            </w:r>
          </w:p>
        </w:tc>
      </w:tr>
    </w:tbl>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ХРАНЕНИЕ</w:t>
      </w:r>
      <w:r w:rsidDel="00000000" w:rsidR="00000000" w:rsidRPr="00000000">
        <w:rPr>
          <w:rtl w:val="0"/>
        </w:rPr>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7.1 Категория условий хранения – 3 (С) по ГОСТ 15150, неупакованных частей – категория 6.</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длительном хранении оборудования должно быть защищено от атмосферных осадков.</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Таблица 5 - Хранение</w:t>
      </w:r>
    </w:p>
    <w:tbl>
      <w:tblPr>
        <w:tblStyle w:val="Table5"/>
        <w:tblW w:w="9711.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21"/>
        <w:gridCol w:w="2417"/>
        <w:gridCol w:w="2417"/>
        <w:gridCol w:w="2456"/>
        <w:tblGridChange w:id="0">
          <w:tblGrid>
            <w:gridCol w:w="2421"/>
            <w:gridCol w:w="2417"/>
            <w:gridCol w:w="2417"/>
            <w:gridCol w:w="2456"/>
          </w:tblGrid>
        </w:tblGridChange>
      </w:tblGrid>
      <w:tr>
        <w:trPr>
          <w:cantSplit w:val="0"/>
          <w:tblHeader w:val="0"/>
        </w:trPr>
        <w:tc>
          <w:tcPr>
            <w:vAlign w:val="center"/>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Дата установки на хранение</w:t>
            </w:r>
          </w:p>
        </w:tc>
        <w:tc>
          <w:tcPr>
            <w:vAlign w:val="center"/>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Дата снятия с хранения</w:t>
            </w:r>
          </w:p>
        </w:tc>
        <w:tc>
          <w:tcPr>
            <w:vAlign w:val="center"/>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Условия хранения</w:t>
            </w:r>
          </w:p>
        </w:tc>
        <w:tc>
          <w:tcPr>
            <w:vAlign w:val="center"/>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Должность, фамилия и подпись лица, ответственного за хранение</w:t>
            </w:r>
          </w:p>
        </w:tc>
      </w:tr>
      <w:tr>
        <w:trPr>
          <w:cantSplit w:val="0"/>
          <w:trHeight w:val="1837" w:hRule="atLeast"/>
          <w:tblHeader w:val="0"/>
        </w:trPr>
        <w:tc>
          <w:tcP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8 ТРАНСПОРТИРОВАНИЕ</w:t>
      </w:r>
      <w:r w:rsidDel="00000000" w:rsidR="00000000" w:rsidRPr="00000000">
        <w:rPr>
          <w:rtl w:val="0"/>
        </w:rPr>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8.1 Установки транспортируют любым видом транспорта в условиях, обеспечивающих их сохранность, в соответствии с правилами перевозки грузов, действующими на данном виде транспорта.</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8.2 Предприятие-поставщик должно составлять схемы размещения крупногабаритных установок на транспортных средствах и их закрепления на время транспортирования.</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8.3 При транспортировании установки должны находиться в положении, удобном для транспортирования и размещаться на транспортном средстве в порядке очередности, облегчающей последующую разгрузку.</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Требования безопасности при выполнении погрузочно-разгрузочных работ – по ГОСТ 12.3.009 и ГОСТ 12.3.020.</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114300" distR="114300">
            <wp:extent cx="2076450" cy="4557395"/>
            <wp:effectExtent b="0" l="0" r="0" t="0"/>
            <wp:docPr id="8"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2076450" cy="4557395"/>
                    </a:xfrm>
                    <a:prstGeom prst="rect"/>
                    <a:ln/>
                  </pic:spPr>
                </pic:pic>
              </a:graphicData>
            </a:graphic>
          </wp:inline>
        </w:drawing>
      </w: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 3 Способы строповки  очистных сооружений</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8.4 Перед отгрузкой ответственные работники предприятия или ОТК, должны осмотреть состояние оборудования и отгружаемых единиц и деталей.</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8.5 Обнаруженные повреждения устраняются до отгрузки.</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8.6 Категория условий транспортирования в части воздействия:</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климатических факторов – 8 (ОЖЗ) по ГОСТ 15150;</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механических факторов – С по ГОСТ 23170.</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9. РЕСУРСЫ, СРОКИ СЛУЖБЫ</w:t>
      </w:r>
      <w:r w:rsidDel="00000000" w:rsidR="00000000" w:rsidRPr="00000000">
        <w:rPr>
          <w:rtl w:val="0"/>
        </w:rPr>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9.1 Конструкция очистных сооружений обеспечивает надежность, долговечность и безопасность при изготовлении, монтаже и эксплуатации на расчетных параметрах в течение расчетного ресурса безопасной работы, а также возможность технического освидетельствования, технического диагностирования, очистки, ремонта и эксплуатационного контроля.</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9.2 Назначенный срок службы изделий – не менее 100 лет.</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9.3 Установки относится к изделиям пригодным к восстановлению и ремонту. </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9.4 Показатели надежности устанавливаются на конкретные образцы установок согласно ГОСТ 27.003.</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9.5 Эти показатели не должны быть ниже следующих значений:</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 xml:space="preserve">безотказная эксплуатация оборудования в течение 3 (трех) лет со дня ввода в эксплуатацию, при условии соблюдения требований инструкции по монтажу и эксплуатации, требований к транспортировке и хранению;</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 xml:space="preserve">ресурс до капитального ремонта - 5 (пять) лет, с вероятностью 98%;</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 xml:space="preserve">среднее время восстановления - 24 (двадцать четыре) часа.</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276"/>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10 ГАРАНТИЙНЫЕ ОБЯЗАТЕЛЬСТВА</w:t>
      </w: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10.1 Изготовитель гарантирует соответствие изделий требованиям ТУ 28.29.12 – 001 – 87110906 – 2020 «Локальные очистные сооружения «БАЛТЛОС». Технические условия» при соблюдении потребителем правил транспортирования, монтажа и эксплуатации.</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10.2 Гарантия распространяется на любые недостатки изделия, вызванные дефектами производства или материала.</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10.3 Гарантия не распространяется на недостатки изделий, вызванные следующими причинами:</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использование с нарушением требований по эксплуатации, либо небрежным обращением;</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механическим повреждением изделия при транспортировке, в результате удара или падения, либо применения чрезмерной силы;</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воздействием низких или высоких температур, не оговоренных в указаниях по эксплуатации;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использованием не по назначению;</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действием непреодолимой силы;</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неправильным монтажом изделий.</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10.4 Гарантийный срок эксплуатации изделий: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корпуса - не менее 10 лет со дня ввода установок в эксплуатацию;</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 электрооборудование не менее 12 месяцев со дня ввода установок в эксплуатацию.</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Установка считается запущенным в эксплуатацию с момента передачи установки первому перевозчику и устанавливается по товарно- транспортным документам.</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10.5 Гарантийные сроки на покупные комплектующие изделия должны устанавливаться в соответствии с прилагаемыми паспортами.</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gjdgxs" w:id="0"/>
      <w:bookmarkEnd w:id="0"/>
      <w:r w:rsidDel="00000000" w:rsidR="00000000" w:rsidRPr="00000000">
        <w:rPr>
          <w:rtl w:val="0"/>
        </w:rPr>
      </w:r>
    </w:p>
    <w:p w:rsidR="00000000" w:rsidDel="00000000" w:rsidP="00000000" w:rsidRDefault="00000000" w:rsidRPr="00000000" w14:paraId="0000022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СВИДЕТЕЛЬСТВО ОБ УПАКОВЫВАНИИ</w:t>
      </w:r>
      <w:r w:rsidDel="00000000" w:rsidR="00000000" w:rsidRPr="00000000">
        <w:rPr>
          <w:rtl w:val="0"/>
        </w:rPr>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ЛОКАЛЬНЫЕ ОЧИСТНЫЕ СООРУЖЕНИЯ      модель: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«БАЛТЛОС </w:t>
      </w:r>
      <w:r w:rsidDel="00000000" w:rsidR="00000000" w:rsidRPr="00000000">
        <w:rPr>
          <w:rFonts w:ascii="Times New Roman" w:cs="Times New Roman" w:eastAsia="Times New Roman" w:hAnsi="Times New Roman"/>
          <w:sz w:val="28"/>
          <w:szCs w:val="28"/>
          <w:u w:val="single"/>
          <w:rtl w:val="0"/>
        </w:rPr>
        <w:t xml:space="preserve">____</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наименование  изделия                                                                            обозначение изделия</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____________________</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заводской  номер</w:t>
      </w:r>
      <w:r w:rsidDel="00000000" w:rsidR="00000000" w:rsidRPr="00000000">
        <w:rPr>
          <w:rtl w:val="0"/>
        </w:rPr>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Упаковано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ООО «ПРОФБУРМОНТАЖ»</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наименование  изготовителя</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согласно  требованиям  ТУ 28.29.12 – 001 – 87110906 – 2020  «Локальные очистные сооружения «БАЛТЛОС». Технические условия</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_________________         _______________         ________________</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должность               </w:t>
        <w:tab/>
        <w:tab/>
        <w:t xml:space="preserve">         личная  подпись                                  расшифровка   подписи</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__________________________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год,  месяц,  число</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12 СВИДЕТЕЛЬСТВО О ПРИЕМКЕ</w:t>
      </w:r>
      <w:r w:rsidDel="00000000" w:rsidR="00000000" w:rsidRPr="00000000">
        <w:rPr>
          <w:rtl w:val="0"/>
        </w:rPr>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ЛОКАЛЬНЫЕ ОЧИСТНЫЕ СООРУЖЕНИЯ      модель: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«БАЛТЛОС </w:t>
      </w:r>
      <w:r w:rsidDel="00000000" w:rsidR="00000000" w:rsidRPr="00000000">
        <w:rPr>
          <w:rFonts w:ascii="Times New Roman" w:cs="Times New Roman" w:eastAsia="Times New Roman" w:hAnsi="Times New Roman"/>
          <w:sz w:val="28"/>
          <w:szCs w:val="28"/>
          <w:u w:val="single"/>
          <w:rtl w:val="0"/>
        </w:rPr>
        <w:t xml:space="preserve">___</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наименование  изделия                                                                            обозначение изделия</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____________________</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заводской  номер</w:t>
      </w:r>
      <w:r w:rsidDel="00000000" w:rsidR="00000000" w:rsidRPr="00000000">
        <w:rPr>
          <w:rtl w:val="0"/>
        </w:rPr>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изготовлен и принят в соответствии с ТУ 28.29.12 – 001 – 87110906 – 2020, и признан годным для эксплуатации</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Начальник ОТК                                ____________      __________________</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личная   подпись         расшифровка подписи</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tab/>
        <w:tab/>
        <w:tab/>
        <w:tab/>
        <w:t xml:space="preserve">     М.П.</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_________________________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год,  месяц,  число</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13 ДВИЖЕНИЯ ИЗДЕЛИЯ В ЭКСПЛУАТАЦИИ</w:t>
      </w:r>
      <w:r w:rsidDel="00000000" w:rsidR="00000000" w:rsidRPr="00000000">
        <w:rPr>
          <w:rtl w:val="0"/>
        </w:rPr>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13.1 Учет местонахождения оборудования при эксплуатации, приема и передачи изделия производится в таблице 6.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Таблица 6 – Сведения о местонахождении станции</w:t>
      </w:r>
    </w:p>
    <w:tbl>
      <w:tblPr>
        <w:tblStyle w:val="Table6"/>
        <w:tblW w:w="999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50"/>
        <w:gridCol w:w="4012"/>
        <w:gridCol w:w="2933"/>
        <w:tblGridChange w:id="0">
          <w:tblGrid>
            <w:gridCol w:w="3050"/>
            <w:gridCol w:w="4012"/>
            <w:gridCol w:w="2933"/>
          </w:tblGrid>
        </w:tblGridChange>
      </w:tblGrid>
      <w:tr>
        <w:trPr>
          <w:cantSplit w:val="0"/>
          <w:tblHeader w:val="0"/>
        </w:trPr>
        <w:tc>
          <w:tcPr>
            <w:vAlign w:val="center"/>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Наименование предприятия</w:t>
            </w:r>
            <w:r w:rsidDel="00000000" w:rsidR="00000000" w:rsidRPr="00000000">
              <w:rPr>
                <w:rtl w:val="0"/>
              </w:rPr>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и его адрес</w:t>
            </w:r>
            <w:r w:rsidDel="00000000" w:rsidR="00000000" w:rsidRPr="00000000">
              <w:rPr>
                <w:rtl w:val="0"/>
              </w:rPr>
            </w:r>
          </w:p>
        </w:tc>
        <w:tc>
          <w:tcPr>
            <w:vAlign w:val="center"/>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Место нахождения </w:t>
            </w:r>
            <w:r w:rsidDel="00000000" w:rsidR="00000000" w:rsidRPr="00000000">
              <w:rPr>
                <w:rtl w:val="0"/>
              </w:rPr>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(адрес)</w:t>
            </w:r>
            <w:r w:rsidDel="00000000" w:rsidR="00000000" w:rsidRPr="00000000">
              <w:rPr>
                <w:rtl w:val="0"/>
              </w:rPr>
            </w:r>
          </w:p>
        </w:tc>
        <w:tc>
          <w:tcPr>
            <w:vAlign w:val="center"/>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Дата установки</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СВЕДЕНИЯ ОБ УТИЛИЗАЦИИ</w:t>
      </w:r>
      <w:r w:rsidDel="00000000" w:rsidR="00000000" w:rsidRPr="00000000">
        <w:rPr>
          <w:rtl w:val="0"/>
        </w:rPr>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pos="709"/>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После окончания срока эксплуатации оборудование подлежит списанию и утилизации в установленном владельцем порядке.</w:t>
      </w:r>
    </w:p>
    <w:p w:rsidR="00000000" w:rsidDel="00000000" w:rsidP="00000000" w:rsidRDefault="00000000" w:rsidRPr="00000000" w14:paraId="0000026C">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pos="709"/>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Оборудование перед отправкой на утилизацию (на вторичную переработку), должно быть разобрано с сортировкой материала по типам и маркам.</w:t>
      </w:r>
    </w:p>
    <w:p w:rsidR="00000000" w:rsidDel="00000000" w:rsidP="00000000" w:rsidRDefault="00000000" w:rsidRPr="00000000" w14:paraId="0000026D">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pos="709"/>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Основной метод утилизации – ручной демонтаж.</w:t>
      </w:r>
    </w:p>
    <w:p w:rsidR="00000000" w:rsidDel="00000000" w:rsidP="00000000" w:rsidRDefault="00000000" w:rsidRPr="00000000" w14:paraId="0000026E">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pos="709"/>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утилизации следует соблюдать правила безопасности демонтажа, принятые на предприятии потребителя.</w:t>
      </w:r>
    </w:p>
    <w:p w:rsidR="00000000" w:rsidDel="00000000" w:rsidP="00000000" w:rsidRDefault="00000000" w:rsidRPr="00000000" w14:paraId="0000026F">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pos="709"/>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утилизации следует выполнить следующие операции.</w:t>
      </w:r>
    </w:p>
    <w:p w:rsidR="00000000" w:rsidDel="00000000" w:rsidP="00000000" w:rsidRDefault="00000000" w:rsidRPr="00000000" w14:paraId="00000270">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pos="709"/>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Определить непригодность (неработоспособность) оборудования к дальнейшей эксплуатации, оформить соответствующий акт (на списание).</w:t>
      </w:r>
    </w:p>
    <w:p w:rsidR="00000000" w:rsidDel="00000000" w:rsidP="00000000" w:rsidRDefault="00000000" w:rsidRPr="00000000" w14:paraId="00000271">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pos="709"/>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Разобрать ЛОС на составные части, поддающиеся разборке.</w:t>
      </w:r>
    </w:p>
    <w:p w:rsidR="00000000" w:rsidDel="00000000" w:rsidP="00000000" w:rsidRDefault="00000000" w:rsidRPr="00000000" w14:paraId="00000272">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pos="709"/>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Отделить составные части по группам:</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полимерные части;</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разъемы;</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электронные платы и компоненты.</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709"/>
          <w:tab w:val="left" w:pos="85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СВЕДЕНИЯ О РЕКЛАМАЦИЯХ</w:t>
      </w:r>
      <w:r w:rsidDel="00000000" w:rsidR="00000000" w:rsidRPr="00000000">
        <w:rPr>
          <w:rtl w:val="0"/>
        </w:rPr>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 w:val="left" w:pos="85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 w:val="left" w:pos="85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15.1 Неисправное оборудование подлежит гарантийному ремонту или замене в течении гарантийного срока.</w:t>
      </w:r>
    </w:p>
    <w:p w:rsidR="00000000" w:rsidDel="00000000" w:rsidP="00000000" w:rsidRDefault="00000000" w:rsidRPr="00000000" w14:paraId="0000027B">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709"/>
          <w:tab w:val="left" w:pos="85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 возникающих неисправностях и всех работах по восстановлению изделия делают отметки в листе сведения о рекламациях.</w:t>
      </w:r>
    </w:p>
    <w:p w:rsidR="00000000" w:rsidDel="00000000" w:rsidP="00000000" w:rsidRDefault="00000000" w:rsidRPr="00000000" w14:paraId="0000027C">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709"/>
          <w:tab w:val="left" w:pos="85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обнаружении в процессе эксплуатации оборудования неисправностей, предприятие-владелец обязан составить рекламации (технический акт) и направить его копию изготовителю.</w:t>
      </w:r>
    </w:p>
    <w:p w:rsidR="00000000" w:rsidDel="00000000" w:rsidP="00000000" w:rsidRDefault="00000000" w:rsidRPr="00000000" w14:paraId="0000027D">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709"/>
          <w:tab w:val="left" w:pos="85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Рекламации должны направляться предприятию-изготовителю в письменном виде по адресу: </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 w:val="left" w:pos="85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 w:val="left" w:pos="85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ООО «ПрофБурМонтаж»</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 w:val="left" w:pos="85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Адрес: 236006, г. Калининград, </w:t>
      </w:r>
      <w:r w:rsidDel="00000000" w:rsidR="00000000" w:rsidRPr="00000000">
        <w:rPr>
          <w:rFonts w:ascii="Times New Roman" w:cs="Times New Roman" w:eastAsia="Times New Roman" w:hAnsi="Times New Roman"/>
          <w:sz w:val="28"/>
          <w:szCs w:val="28"/>
          <w:rtl w:val="0"/>
        </w:rPr>
        <w:t xml:space="preserve">Индустриальная 3а</w:t>
      </w:r>
      <w:r w:rsidDel="00000000" w:rsidR="00000000" w:rsidRPr="00000000">
        <w:rPr>
          <w:rtl w:val="0"/>
        </w:rPr>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 w:val="left" w:pos="85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тел/факс 8 (4012) 90-14-17</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 w:val="left" w:pos="851"/>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Burenie39@yandex.ru</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709"/>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Срок рассмотрении рекламации – 1 (один) месяц со дня получения рекламации.</w:t>
      </w:r>
    </w:p>
    <w:p w:rsidR="00000000" w:rsidDel="00000000" w:rsidP="00000000" w:rsidRDefault="00000000" w:rsidRPr="00000000" w14:paraId="00000286">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709"/>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Предприятие-изготовитель принимает рекламацию, если не установлена вина получателя в возникновении дефекта в изделии.</w:t>
      </w:r>
    </w:p>
    <w:p w:rsidR="00000000" w:rsidDel="00000000" w:rsidP="00000000" w:rsidRDefault="00000000" w:rsidRPr="00000000" w14:paraId="00000287">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709"/>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Рекламация не предъявляется:</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 истечении гарантийного срока;</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 нарушении потребителем правил эксплуатации, хранения, транспортировки, предусмотренных эксплуатационной документацией.</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15.8 Акты, составленные без сведения вышеуказанных условий, изготовителем установки к рассмотрению не принимаются.</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 w:val="left" w:pos="1134"/>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28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Таблица 7 - Сведения о рекламациях</w:t>
      </w:r>
    </w:p>
    <w:tbl>
      <w:tblPr>
        <w:tblStyle w:val="Table7"/>
        <w:tblW w:w="9994.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51"/>
        <w:gridCol w:w="1773"/>
        <w:gridCol w:w="2137"/>
        <w:gridCol w:w="1629"/>
        <w:gridCol w:w="1258"/>
        <w:gridCol w:w="1647"/>
        <w:tblGridChange w:id="0">
          <w:tblGrid>
            <w:gridCol w:w="1551"/>
            <w:gridCol w:w="1773"/>
            <w:gridCol w:w="2137"/>
            <w:gridCol w:w="1629"/>
            <w:gridCol w:w="1258"/>
            <w:gridCol w:w="1647"/>
          </w:tblGrid>
        </w:tblGridChange>
      </w:tblGrid>
      <w:tr>
        <w:trPr>
          <w:cantSplit w:val="0"/>
          <w:trHeight w:val="1050" w:hRule="atLeast"/>
          <w:tblHeader w:val="0"/>
        </w:trPr>
        <w:tc>
          <w:tcPr>
            <w:vAlign w:val="top"/>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Уведомления</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Номер и дата</w:t>
            </w:r>
          </w:p>
        </w:tc>
        <w:tc>
          <w:tcPr>
            <w:vAlign w:val="top"/>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Краткое содержание рекламаций</w:t>
            </w:r>
          </w:p>
        </w:tc>
        <w:tc>
          <w:tcPr>
            <w:vAlign w:val="top"/>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Меры, принятые по устранению отказов и дата рекламационного акта</w:t>
            </w:r>
          </w:p>
        </w:tc>
        <w:tc>
          <w:tcPr>
            <w:vAlign w:val="top"/>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Дата ввода оборудования в эксплуатаци ю</w:t>
            </w:r>
          </w:p>
        </w:tc>
        <w:tc>
          <w:tcPr>
            <w:vAlign w:val="top"/>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Время, на которое продлен гаранти йный срок</w:t>
            </w:r>
          </w:p>
        </w:tc>
        <w:tc>
          <w:tcPr>
            <w:vAlign w:val="top"/>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Должность, фамилия и подпись лица, проводившего гарантийный ремонт</w:t>
            </w:r>
          </w:p>
        </w:tc>
      </w:tr>
      <w:tr>
        <w:trPr>
          <w:cantSplit w:val="0"/>
          <w:trHeight w:val="255" w:hRule="atLeast"/>
          <w:tblHeader w:val="0"/>
        </w:trPr>
        <w:tc>
          <w:tcPr>
            <w:vAlign w:val="top"/>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cantSplit w:val="0"/>
          <w:trHeight w:val="255" w:hRule="atLeast"/>
          <w:tblHeader w:val="0"/>
        </w:trPr>
        <w:tc>
          <w:tcPr>
            <w:vAlign w:val="top"/>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cantSplit w:val="0"/>
          <w:trHeight w:val="255" w:hRule="atLeast"/>
          <w:tblHeader w:val="0"/>
        </w:trPr>
        <w:tc>
          <w:tcPr>
            <w:vAlign w:val="top"/>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cantSplit w:val="0"/>
          <w:trHeight w:val="255" w:hRule="atLeast"/>
          <w:tblHeader w:val="0"/>
        </w:trPr>
        <w:tc>
          <w:tcPr>
            <w:vAlign w:val="top"/>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cantSplit w:val="0"/>
          <w:trHeight w:val="255" w:hRule="atLeast"/>
          <w:tblHeader w:val="0"/>
        </w:trPr>
        <w:tc>
          <w:tcPr>
            <w:vAlign w:val="top"/>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cantSplit w:val="0"/>
          <w:trHeight w:val="255" w:hRule="atLeast"/>
          <w:tblHeader w:val="0"/>
        </w:trPr>
        <w:tc>
          <w:tcPr>
            <w:vAlign w:val="top"/>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cantSplit w:val="0"/>
          <w:trHeight w:val="300" w:hRule="atLeast"/>
          <w:tblHeader w:val="0"/>
        </w:trPr>
        <w:tc>
          <w:tcPr>
            <w:vAlign w:val="top"/>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Адрес изготовителя:</w:t>
      </w:r>
      <w:r w:rsidDel="00000000" w:rsidR="00000000" w:rsidRPr="00000000">
        <w:rPr>
          <w:rtl w:val="0"/>
        </w:rPr>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ООО «ПрофБурМонтаж»</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Адрес: 236006, г. Калининград, </w:t>
      </w:r>
      <w:r w:rsidDel="00000000" w:rsidR="00000000" w:rsidRPr="00000000">
        <w:rPr>
          <w:rFonts w:ascii="Times New Roman" w:cs="Times New Roman" w:eastAsia="Times New Roman" w:hAnsi="Times New Roman"/>
          <w:sz w:val="24"/>
          <w:szCs w:val="24"/>
          <w:rtl w:val="0"/>
        </w:rPr>
        <w:t xml:space="preserve">Индустриальная 3а</w:t>
      </w:r>
      <w:r w:rsidDel="00000000" w:rsidR="00000000" w:rsidRPr="00000000">
        <w:rPr>
          <w:rtl w:val="0"/>
        </w:rPr>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тел/факс 8 (4012) 90-14-17, 400-020</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Burenie39@yandex.ru</w:t>
      </w:r>
    </w:p>
    <w:sectPr>
      <w:headerReference r:id="rId14" w:type="default"/>
      <w:headerReference r:id="rId15" w:type="first"/>
      <w:footerReference r:id="rId16" w:type="default"/>
      <w:type w:val="continuous"/>
      <w:pgSz w:h="16838" w:w="11906" w:orient="portrait"/>
      <w:pgMar w:bottom="1134" w:top="1894" w:left="1276" w:right="851" w:header="425" w:footer="595"/>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ambria"/>
  <w:font w:name="Courier New"/>
  <w:font w:name="Noto Sans Symbols"/>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120" w:line="240" w:lineRule="auto"/>
      <w:ind w:left="0" w:right="-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ПС РЭ 28.29.12.110.2020</w:t>
    </w:r>
    <w:r w:rsidDel="00000000" w:rsidR="00000000" w:rsidRPr="00000000">
      <w:rPr>
        <w:rtl w:val="0"/>
      </w:rPr>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240" w:lineRule="auto"/>
      <w:ind w:left="0" w:right="-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2">
    <w:pPr>
      <w:keepNext w:val="0"/>
      <w:keepLines w:val="0"/>
      <w:pageBreakBefore w:val="0"/>
      <w:widowControl w:val="0"/>
      <w:pBdr>
        <w:top w:color="622423" w:space="1" w:sz="24" w:val="single"/>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righ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Страница </w:t>
    </w:r>
    <w:r w:rsidDel="00000000" w:rsidR="00000000" w:rsidRPr="00000000">
      <w:rPr>
        <w:rFonts w:ascii="Merriweather" w:cs="Merriweather" w:eastAsia="Merriweather" w:hAnsi="Merriweather"/>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120" w:line="240" w:lineRule="auto"/>
      <w:ind w:left="0" w:right="-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ПС РЭ 28.29.12.110.2020</w:t>
    </w:r>
    <w:r w:rsidDel="00000000" w:rsidR="00000000" w:rsidRPr="00000000">
      <w:rPr>
        <w:rtl w:val="0"/>
      </w:rPr>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458"/>
      </w:tabs>
      <w:spacing w:after="0" w:before="0" w:line="240" w:lineRule="auto"/>
      <w:ind w:left="0" w:right="-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5">
    <w:pPr>
      <w:keepNext w:val="0"/>
      <w:keepLines w:val="0"/>
      <w:pageBreakBefore w:val="0"/>
      <w:widowControl w:val="0"/>
      <w:pBdr>
        <w:top w:color="622423" w:space="1" w:sz="24" w:val="single"/>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righ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Страница </w:t>
    </w:r>
    <w:r w:rsidDel="00000000" w:rsidR="00000000" w:rsidRPr="00000000">
      <w:rPr>
        <w:rFonts w:ascii="Merriweather" w:cs="Merriweather" w:eastAsia="Merriweather" w:hAnsi="Merriweather"/>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Merriweather" w:cs="Merriweather" w:eastAsia="Merriweather" w:hAnsi="Merriweather"/>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210300" cy="724535"/>
              <wp:effectExtent b="0" l="0" r="0" t="0"/>
              <wp:wrapNone/>
              <wp:docPr id="2" name=""/>
              <a:graphic>
                <a:graphicData uri="http://schemas.microsoft.com/office/word/2010/wordprocessingShape">
                  <wps:wsp>
                    <wps:cNvSpPr/>
                    <wps:cNvPr id="3" name="Shape 3"/>
                    <wps:spPr>
                      <a:xfrm>
                        <a:off x="2269425" y="3446308"/>
                        <a:ext cx="6153150" cy="667385"/>
                      </a:xfrm>
                      <a:prstGeom prst="rect">
                        <a:avLst/>
                      </a:prstGeom>
                      <a:solidFill>
                        <a:srgbClr val="FFFFFF"/>
                      </a:solidFill>
                      <a:ln cap="flat" cmpd="thickThin" w="5715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ОБЩЕСТВО С ОГРАНИЧЕННОЙ ОТВЕТСТВЕННОСТЬЮ</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«ПРОФБУРМОНТАЖ»</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210300" cy="724535"/>
              <wp:effectExtent b="0" l="0" r="0" t="0"/>
              <wp:wrapNone/>
              <wp:docPr id="2"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210300" cy="724535"/>
                      </a:xfrm>
                      <a:prstGeom prst="rect"/>
                      <a:ln/>
                    </pic:spPr>
                  </pic:pic>
                </a:graphicData>
              </a:graphic>
            </wp:anchor>
          </w:drawing>
        </mc:Fallback>
      </mc:AlternateConten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Merriweather" w:cs="Merriweather" w:eastAsia="Merriweather" w:hAnsi="Merriweather"/>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Merriweather" w:cs="Merriweather" w:eastAsia="Merriweather" w:hAnsi="Merriweather"/>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76201</wp:posOffset>
              </wp:positionH>
              <wp:positionV relativeFrom="paragraph">
                <wp:posOffset>114300</wp:posOffset>
              </wp:positionV>
              <wp:extent cx="6058535" cy="724535"/>
              <wp:effectExtent b="0" l="0" r="0" t="0"/>
              <wp:wrapNone/>
              <wp:docPr id="1" name=""/>
              <a:graphic>
                <a:graphicData uri="http://schemas.microsoft.com/office/word/2010/wordprocessingShape">
                  <wps:wsp>
                    <wps:cNvSpPr/>
                    <wps:cNvPr id="2" name="Shape 2"/>
                    <wps:spPr>
                      <a:xfrm>
                        <a:off x="2345308" y="3446308"/>
                        <a:ext cx="6001385" cy="667385"/>
                      </a:xfrm>
                      <a:prstGeom prst="rect">
                        <a:avLst/>
                      </a:prstGeom>
                      <a:solidFill>
                        <a:srgbClr val="FFFFFF"/>
                      </a:solidFill>
                      <a:ln cap="flat" cmpd="thickThin" w="5715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ОБЩЕСТВО С ОГРАНИЧЕННОЙ ОТВЕТСТВЕННОСТЬЮ</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«ПРОФБУРМОНТАЖ»</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76201</wp:posOffset>
              </wp:positionH>
              <wp:positionV relativeFrom="paragraph">
                <wp:posOffset>114300</wp:posOffset>
              </wp:positionV>
              <wp:extent cx="6058535" cy="724535"/>
              <wp:effectExtent b="0" l="0" r="0" t="0"/>
              <wp:wrapNone/>
              <wp:docPr id="1"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6058535" cy="724535"/>
                      </a:xfrm>
                      <a:prstGeom prst="rect"/>
                      <a:ln/>
                    </pic:spPr>
                  </pic:pic>
                </a:graphicData>
              </a:graphic>
            </wp:anchor>
          </w:drawing>
        </mc:Fallback>
      </mc:AlternateConten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Merriweather" w:cs="Merriweather" w:eastAsia="Merriweather" w:hAnsi="Merriweather"/>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Merriweather" w:cs="Merriweather" w:eastAsia="Merriweather" w:hAnsi="Merriweather"/>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1384300</wp:posOffset>
              </wp:positionH>
              <wp:positionV relativeFrom="paragraph">
                <wp:posOffset>0</wp:posOffset>
              </wp:positionV>
              <wp:extent cx="6058535" cy="724535"/>
              <wp:effectExtent b="0" l="0" r="0" t="0"/>
              <wp:wrapNone/>
              <wp:docPr id="4" name=""/>
              <a:graphic>
                <a:graphicData uri="http://schemas.microsoft.com/office/word/2010/wordprocessingShape">
                  <wps:wsp>
                    <wps:cNvSpPr/>
                    <wps:cNvPr id="5" name="Shape 5"/>
                    <wps:spPr>
                      <a:xfrm>
                        <a:off x="2345308" y="3446308"/>
                        <a:ext cx="6001385" cy="667385"/>
                      </a:xfrm>
                      <a:prstGeom prst="rect">
                        <a:avLst/>
                      </a:prstGeom>
                      <a:solidFill>
                        <a:srgbClr val="FFFFFF"/>
                      </a:solidFill>
                      <a:ln cap="flat" cmpd="thickThin" w="5715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ОБЩЕСТВО С ОГРАНИЧЕННОЙ ОТВЕТСТВЕННОСТЬЮ Научно-производственное объединение «Перспектива»)</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1384300</wp:posOffset>
              </wp:positionH>
              <wp:positionV relativeFrom="paragraph">
                <wp:posOffset>0</wp:posOffset>
              </wp:positionV>
              <wp:extent cx="6058535" cy="724535"/>
              <wp:effectExtent b="0" l="0" r="0" t="0"/>
              <wp:wrapNone/>
              <wp:docPr id="4"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6058535" cy="724535"/>
                      </a:xfrm>
                      <a:prstGeom prst="rect"/>
                      <a:ln/>
                    </pic:spPr>
                  </pic:pic>
                </a:graphicData>
              </a:graphic>
            </wp:anchor>
          </w:drawing>
        </mc:Fallback>
      </mc:AlternateConten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Merriweather" w:cs="Merriweather" w:eastAsia="Merriweather" w:hAnsi="Merriweather"/>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Merriweather" w:cs="Merriweather" w:eastAsia="Merriweather" w:hAnsi="Merriweather"/>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-88899</wp:posOffset>
              </wp:positionH>
              <wp:positionV relativeFrom="paragraph">
                <wp:posOffset>127000</wp:posOffset>
              </wp:positionV>
              <wp:extent cx="6210300" cy="724535"/>
              <wp:effectExtent b="0" l="0" r="0" t="0"/>
              <wp:wrapNone/>
              <wp:docPr id="3" name=""/>
              <a:graphic>
                <a:graphicData uri="http://schemas.microsoft.com/office/word/2010/wordprocessingShape">
                  <wps:wsp>
                    <wps:cNvSpPr/>
                    <wps:cNvPr id="4" name="Shape 4"/>
                    <wps:spPr>
                      <a:xfrm>
                        <a:off x="2269425" y="3446308"/>
                        <a:ext cx="6153150" cy="667385"/>
                      </a:xfrm>
                      <a:prstGeom prst="rect">
                        <a:avLst/>
                      </a:prstGeom>
                      <a:solidFill>
                        <a:srgbClr val="FFFFFF"/>
                      </a:solidFill>
                      <a:ln cap="flat" cmpd="thickThin" w="5715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ОБЩЕСТВО С ОГРАНИЧЕННОЙ ОТВЕТСТВЕННОСТЬЮ</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«ПРОФБУРМОНТАЖ»</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-88899</wp:posOffset>
              </wp:positionH>
              <wp:positionV relativeFrom="paragraph">
                <wp:posOffset>127000</wp:posOffset>
              </wp:positionV>
              <wp:extent cx="6210300" cy="724535"/>
              <wp:effectExtent b="0" l="0" r="0" t="0"/>
              <wp:wrapNone/>
              <wp:docPr id="3"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6210300" cy="724535"/>
                      </a:xfrm>
                      <a:prstGeom prst="rect"/>
                      <a:ln/>
                    </pic:spPr>
                  </pic:pic>
                </a:graphicData>
              </a:graphic>
            </wp:anchor>
          </w:drawing>
        </mc:Fallback>
      </mc:AlternateConten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Merriweather" w:cs="Merriweather" w:eastAsia="Merriweather" w:hAnsi="Merriweather"/>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2">
    <w:lvl w:ilvl="0">
      <w:start w:val="3"/>
      <w:numFmt w:val="decimal"/>
      <w:lvlText w:val="%1."/>
      <w:lvlJc w:val="left"/>
      <w:pPr>
        <w:ind w:left="1287" w:hanging="360.0000000000001"/>
      </w:pPr>
      <w:rPr>
        <w:vertAlign w:val="baseline"/>
      </w:rPr>
    </w:lvl>
    <w:lvl w:ilvl="1">
      <w:start w:val="2"/>
      <w:numFmt w:val="decimal"/>
      <w:lvlText w:val="%1.%2"/>
      <w:lvlJc w:val="left"/>
      <w:pPr>
        <w:ind w:left="1407" w:hanging="480.0000000000001"/>
      </w:pPr>
      <w:rPr>
        <w:vertAlign w:val="baseline"/>
      </w:rPr>
    </w:lvl>
    <w:lvl w:ilvl="2">
      <w:start w:val="1"/>
      <w:numFmt w:val="decimal"/>
      <w:lvlText w:val="%1.%2.%3"/>
      <w:lvlJc w:val="left"/>
      <w:pPr>
        <w:ind w:left="1647" w:hanging="720.0000000000001"/>
      </w:pPr>
      <w:rPr>
        <w:vertAlign w:val="baseline"/>
      </w:rPr>
    </w:lvl>
    <w:lvl w:ilvl="3">
      <w:start w:val="1"/>
      <w:numFmt w:val="decimal"/>
      <w:lvlText w:val="%1.%2.%3.%4"/>
      <w:lvlJc w:val="left"/>
      <w:pPr>
        <w:ind w:left="1647" w:hanging="720.0000000000001"/>
      </w:pPr>
      <w:rPr>
        <w:vertAlign w:val="baseline"/>
      </w:rPr>
    </w:lvl>
    <w:lvl w:ilvl="4">
      <w:start w:val="1"/>
      <w:numFmt w:val="decimal"/>
      <w:lvlText w:val="%1.%2.%3.%4.%5"/>
      <w:lvlJc w:val="left"/>
      <w:pPr>
        <w:ind w:left="2007" w:hanging="1080"/>
      </w:pPr>
      <w:rPr>
        <w:vertAlign w:val="baseline"/>
      </w:rPr>
    </w:lvl>
    <w:lvl w:ilvl="5">
      <w:start w:val="1"/>
      <w:numFmt w:val="decimal"/>
      <w:lvlText w:val="%1.%2.%3.%4.%5.%6"/>
      <w:lvlJc w:val="left"/>
      <w:pPr>
        <w:ind w:left="2007" w:hanging="1080"/>
      </w:pPr>
      <w:rPr>
        <w:vertAlign w:val="baseline"/>
      </w:rPr>
    </w:lvl>
    <w:lvl w:ilvl="6">
      <w:start w:val="1"/>
      <w:numFmt w:val="decimal"/>
      <w:lvlText w:val="%1.%2.%3.%4.%5.%6.%7"/>
      <w:lvlJc w:val="left"/>
      <w:pPr>
        <w:ind w:left="2367" w:hanging="1440"/>
      </w:pPr>
      <w:rPr>
        <w:vertAlign w:val="baseline"/>
      </w:rPr>
    </w:lvl>
    <w:lvl w:ilvl="7">
      <w:start w:val="1"/>
      <w:numFmt w:val="decimal"/>
      <w:lvlText w:val="%1.%2.%3.%4.%5.%6.%7.%8"/>
      <w:lvlJc w:val="left"/>
      <w:pPr>
        <w:ind w:left="2367" w:hanging="1440"/>
      </w:pPr>
      <w:rPr>
        <w:vertAlign w:val="baseline"/>
      </w:rPr>
    </w:lvl>
    <w:lvl w:ilvl="8">
      <w:start w:val="1"/>
      <w:numFmt w:val="decimal"/>
      <w:lvlText w:val="%1.%2.%3.%4.%5.%6.%7.%8.%9"/>
      <w:lvlJc w:val="left"/>
      <w:pPr>
        <w:ind w:left="2727" w:hanging="1800"/>
      </w:pPr>
      <w:rPr>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7"/>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5">
    <w:lvl w:ilvl="0">
      <w:start w:val="1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6">
    <w:lvl w:ilvl="0">
      <w:start w:val="14"/>
      <w:numFmt w:val="decimal"/>
      <w:lvlText w:val="%1"/>
      <w:lvlJc w:val="left"/>
      <w:pPr>
        <w:ind w:left="927" w:hanging="360"/>
      </w:pPr>
      <w:rPr>
        <w:vertAlign w:val="baseline"/>
      </w:rPr>
    </w:lvl>
    <w:lvl w:ilvl="1">
      <w:start w:val="1"/>
      <w:numFmt w:val="decimal"/>
      <w:lvlText w:val="%1.%2"/>
      <w:lvlJc w:val="left"/>
      <w:pPr>
        <w:ind w:left="987" w:hanging="420"/>
      </w:pPr>
      <w:rPr>
        <w:vertAlign w:val="baseline"/>
      </w:rPr>
    </w:lvl>
    <w:lvl w:ilvl="2">
      <w:start w:val="1"/>
      <w:numFmt w:val="decimal"/>
      <w:lvlText w:val="%1.%2.%3"/>
      <w:lvlJc w:val="left"/>
      <w:pPr>
        <w:ind w:left="1287" w:hanging="720.0000000000001"/>
      </w:pPr>
      <w:rPr>
        <w:vertAlign w:val="baseline"/>
      </w:rPr>
    </w:lvl>
    <w:lvl w:ilvl="3">
      <w:start w:val="1"/>
      <w:numFmt w:val="decimal"/>
      <w:lvlText w:val="%1.%2.%3.%4"/>
      <w:lvlJc w:val="left"/>
      <w:pPr>
        <w:ind w:left="1287" w:hanging="720.0000000000001"/>
      </w:pPr>
      <w:rPr>
        <w:vertAlign w:val="baseline"/>
      </w:rPr>
    </w:lvl>
    <w:lvl w:ilvl="4">
      <w:start w:val="1"/>
      <w:numFmt w:val="decimal"/>
      <w:lvlText w:val="%1.%2.%3.%4.%5"/>
      <w:lvlJc w:val="left"/>
      <w:pPr>
        <w:ind w:left="1647" w:hanging="1080"/>
      </w:pPr>
      <w:rPr>
        <w:vertAlign w:val="baseline"/>
      </w:rPr>
    </w:lvl>
    <w:lvl w:ilvl="5">
      <w:start w:val="1"/>
      <w:numFmt w:val="decimal"/>
      <w:lvlText w:val="%1.%2.%3.%4.%5.%6"/>
      <w:lvlJc w:val="left"/>
      <w:pPr>
        <w:ind w:left="1647" w:hanging="1080"/>
      </w:pPr>
      <w:rPr>
        <w:vertAlign w:val="baseline"/>
      </w:rPr>
    </w:lvl>
    <w:lvl w:ilvl="6">
      <w:start w:val="1"/>
      <w:numFmt w:val="decimal"/>
      <w:lvlText w:val="%1.%2.%3.%4.%5.%6.%7"/>
      <w:lvlJc w:val="left"/>
      <w:pPr>
        <w:ind w:left="2007" w:hanging="1440"/>
      </w:pPr>
      <w:rPr>
        <w:vertAlign w:val="baseline"/>
      </w:rPr>
    </w:lvl>
    <w:lvl w:ilvl="7">
      <w:start w:val="1"/>
      <w:numFmt w:val="decimal"/>
      <w:lvlText w:val="%1.%2.%3.%4.%5.%6.%7.%8"/>
      <w:lvlJc w:val="left"/>
      <w:pPr>
        <w:ind w:left="2007" w:hanging="1440"/>
      </w:pPr>
      <w:rPr>
        <w:vertAlign w:val="baseline"/>
      </w:rPr>
    </w:lvl>
    <w:lvl w:ilvl="8">
      <w:start w:val="1"/>
      <w:numFmt w:val="decimal"/>
      <w:lvlText w:val="%1.%2.%3.%4.%5.%6.%7.%8.%9"/>
      <w:lvlJc w:val="left"/>
      <w:pPr>
        <w:ind w:left="2367" w:hanging="1800"/>
      </w:pPr>
      <w:rPr>
        <w:vertAlign w:val="baseline"/>
      </w:rPr>
    </w:lvl>
  </w:abstractNum>
  <w:abstractNum w:abstractNumId="7">
    <w:lvl w:ilvl="0">
      <w:start w:val="15"/>
      <w:numFmt w:val="decimal"/>
      <w:lvlText w:val="%1"/>
      <w:lvlJc w:val="left"/>
      <w:pPr>
        <w:ind w:left="420" w:hanging="420"/>
      </w:pPr>
      <w:rPr>
        <w:vertAlign w:val="baseline"/>
      </w:rPr>
    </w:lvl>
    <w:lvl w:ilvl="1">
      <w:start w:val="2"/>
      <w:numFmt w:val="decimal"/>
      <w:lvlText w:val="%1.%2"/>
      <w:lvlJc w:val="left"/>
      <w:pPr>
        <w:ind w:left="987" w:hanging="420"/>
      </w:pPr>
      <w:rPr>
        <w:vertAlign w:val="baseline"/>
      </w:rPr>
    </w:lvl>
    <w:lvl w:ilvl="2">
      <w:start w:val="1"/>
      <w:numFmt w:val="decimal"/>
      <w:lvlText w:val="%1.%2.%3"/>
      <w:lvlJc w:val="left"/>
      <w:pPr>
        <w:ind w:left="1854" w:hanging="720"/>
      </w:pPr>
      <w:rPr>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6336" w:hanging="1800"/>
      </w:pPr>
      <w:rPr>
        <w:vertAlign w:val="baseline"/>
      </w:rPr>
    </w:lvl>
  </w:abstractNum>
  <w:abstractNum w:abstractNumId="8">
    <w:lvl w:ilvl="0">
      <w:start w:val="1"/>
      <w:numFmt w:val="decimal"/>
      <w:lvlText w:val="%1."/>
      <w:lvlJc w:val="left"/>
      <w:pPr>
        <w:ind w:left="0" w:firstLine="0"/>
      </w:pPr>
      <w:rPr>
        <w:rFonts w:ascii="Times New Roman" w:cs="Times New Roman" w:eastAsia="Times New Roman" w:hAnsi="Times New Roman"/>
        <w:color w:val="000000"/>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0" w:firstLine="0"/>
      </w:pPr>
      <w:rPr>
        <w:rFonts w:ascii="Times New Roman" w:cs="Times New Roman" w:eastAsia="Times New Roman" w:hAnsi="Times New Roman"/>
        <w:color w:val="000000"/>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bullet"/>
      <w:lvlText w:val="●"/>
      <w:lvlJc w:val="left"/>
      <w:pPr>
        <w:ind w:left="1004" w:hanging="360"/>
      </w:pPr>
      <w:rPr>
        <w:rFonts w:ascii="Noto Sans Symbols" w:cs="Noto Sans Symbols" w:eastAsia="Noto Sans Symbols" w:hAnsi="Noto Sans Symbols"/>
        <w:vertAlign w:val="baseline"/>
      </w:rPr>
    </w:lvl>
    <w:lvl w:ilvl="1">
      <w:start w:val="1"/>
      <w:numFmt w:val="bullet"/>
      <w:lvlText w:val="o"/>
      <w:lvlJc w:val="left"/>
      <w:pPr>
        <w:ind w:left="1724" w:hanging="360"/>
      </w:pPr>
      <w:rPr>
        <w:rFonts w:ascii="Courier New" w:cs="Courier New" w:eastAsia="Courier New" w:hAnsi="Courier New"/>
        <w:vertAlign w:val="baseline"/>
      </w:rPr>
    </w:lvl>
    <w:lvl w:ilvl="2">
      <w:start w:val="1"/>
      <w:numFmt w:val="bullet"/>
      <w:lvlText w:val="▪"/>
      <w:lvlJc w:val="left"/>
      <w:pPr>
        <w:ind w:left="2444" w:hanging="360"/>
      </w:pPr>
      <w:rPr>
        <w:rFonts w:ascii="Noto Sans Symbols" w:cs="Noto Sans Symbols" w:eastAsia="Noto Sans Symbols" w:hAnsi="Noto Sans Symbols"/>
        <w:vertAlign w:val="baseline"/>
      </w:rPr>
    </w:lvl>
    <w:lvl w:ilvl="3">
      <w:start w:val="1"/>
      <w:numFmt w:val="bullet"/>
      <w:lvlText w:val="●"/>
      <w:lvlJc w:val="left"/>
      <w:pPr>
        <w:ind w:left="3164" w:hanging="360"/>
      </w:pPr>
      <w:rPr>
        <w:rFonts w:ascii="Noto Sans Symbols" w:cs="Noto Sans Symbols" w:eastAsia="Noto Sans Symbols" w:hAnsi="Noto Sans Symbols"/>
        <w:vertAlign w:val="baseline"/>
      </w:rPr>
    </w:lvl>
    <w:lvl w:ilvl="4">
      <w:start w:val="1"/>
      <w:numFmt w:val="bullet"/>
      <w:lvlText w:val="o"/>
      <w:lvlJc w:val="left"/>
      <w:pPr>
        <w:ind w:left="3884" w:hanging="360"/>
      </w:pPr>
      <w:rPr>
        <w:rFonts w:ascii="Courier New" w:cs="Courier New" w:eastAsia="Courier New" w:hAnsi="Courier New"/>
        <w:vertAlign w:val="baseline"/>
      </w:rPr>
    </w:lvl>
    <w:lvl w:ilvl="5">
      <w:start w:val="1"/>
      <w:numFmt w:val="bullet"/>
      <w:lvlText w:val="▪"/>
      <w:lvlJc w:val="left"/>
      <w:pPr>
        <w:ind w:left="4604" w:hanging="360"/>
      </w:pPr>
      <w:rPr>
        <w:rFonts w:ascii="Noto Sans Symbols" w:cs="Noto Sans Symbols" w:eastAsia="Noto Sans Symbols" w:hAnsi="Noto Sans Symbols"/>
        <w:vertAlign w:val="baseline"/>
      </w:rPr>
    </w:lvl>
    <w:lvl w:ilvl="6">
      <w:start w:val="1"/>
      <w:numFmt w:val="bullet"/>
      <w:lvlText w:val="●"/>
      <w:lvlJc w:val="left"/>
      <w:pPr>
        <w:ind w:left="5324" w:hanging="360"/>
      </w:pPr>
      <w:rPr>
        <w:rFonts w:ascii="Noto Sans Symbols" w:cs="Noto Sans Symbols" w:eastAsia="Noto Sans Symbols" w:hAnsi="Noto Sans Symbols"/>
        <w:vertAlign w:val="baseline"/>
      </w:rPr>
    </w:lvl>
    <w:lvl w:ilvl="7">
      <w:start w:val="1"/>
      <w:numFmt w:val="bullet"/>
      <w:lvlText w:val="o"/>
      <w:lvlJc w:val="left"/>
      <w:pPr>
        <w:ind w:left="6044" w:hanging="360"/>
      </w:pPr>
      <w:rPr>
        <w:rFonts w:ascii="Courier New" w:cs="Courier New" w:eastAsia="Courier New" w:hAnsi="Courier New"/>
        <w:vertAlign w:val="baseline"/>
      </w:rPr>
    </w:lvl>
    <w:lvl w:ilvl="8">
      <w:start w:val="1"/>
      <w:numFmt w:val="bullet"/>
      <w:lvlText w:val="▪"/>
      <w:lvlJc w:val="left"/>
      <w:pPr>
        <w:ind w:left="6764"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4.png"/><Relationship Id="rId13" Type="http://schemas.openxmlformats.org/officeDocument/2006/relationships/image" Target="media/image5.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header" Target="header3.xml"/><Relationship Id="rId14" Type="http://schemas.openxmlformats.org/officeDocument/2006/relationships/header" Target="header4.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